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0E1B" w14:textId="164BD962" w:rsidR="00EB4A79" w:rsidRPr="00082389" w:rsidRDefault="00841C6B" w:rsidP="00030DE9">
      <w:pPr>
        <w:pStyle w:val="Title"/>
        <w:jc w:val="center"/>
        <w:rPr>
          <w:rFonts w:asciiTheme="minorHAnsi" w:hAnsiTheme="minorHAnsi" w:cstheme="minorHAnsi"/>
          <w:b/>
          <w:bCs/>
          <w:color w:val="023D67" w:themeColor="text2"/>
          <w:sz w:val="36"/>
          <w:szCs w:val="36"/>
        </w:rPr>
      </w:pPr>
      <w:r w:rsidRPr="00082389">
        <w:rPr>
          <w:rFonts w:asciiTheme="minorHAnsi" w:hAnsiTheme="minorHAnsi" w:cstheme="minorHAnsi"/>
          <w:b/>
          <w:bCs/>
          <w:color w:val="023D67" w:themeColor="text2"/>
          <w:sz w:val="36"/>
          <w:szCs w:val="36"/>
        </w:rPr>
        <w:t>Low Carbon Transportation Materials Program</w:t>
      </w:r>
    </w:p>
    <w:p w14:paraId="1D12D7B2" w14:textId="4A621BF7" w:rsidR="00030DE9" w:rsidRPr="00082389" w:rsidRDefault="00030DE9" w:rsidP="00030DE9">
      <w:pPr>
        <w:pStyle w:val="NoSpacing"/>
        <w:jc w:val="center"/>
        <w:rPr>
          <w:rFonts w:cstheme="minorHAnsi"/>
          <w:b/>
          <w:bCs/>
          <w:i/>
          <w:iCs/>
          <w:color w:val="D34727" w:themeColor="accent1"/>
        </w:rPr>
      </w:pPr>
      <w:r w:rsidRPr="00082389">
        <w:rPr>
          <w:rFonts w:cstheme="minorHAnsi"/>
          <w:b/>
          <w:bCs/>
          <w:i/>
          <w:iCs/>
          <w:color w:val="D34727" w:themeColor="accent1"/>
        </w:rPr>
        <w:t xml:space="preserve">This is only a summary; applicants should </w:t>
      </w:r>
      <w:r w:rsidRPr="00082389">
        <w:rPr>
          <w:rFonts w:cstheme="minorHAnsi"/>
          <w:b/>
          <w:bCs/>
          <w:i/>
          <w:iCs/>
          <w:color w:val="D34727" w:themeColor="accent1"/>
          <w:u w:val="single"/>
        </w:rPr>
        <w:t>not</w:t>
      </w:r>
      <w:r w:rsidRPr="00082389">
        <w:rPr>
          <w:rFonts w:cstheme="minorHAnsi"/>
          <w:b/>
          <w:bCs/>
          <w:i/>
          <w:iCs/>
          <w:color w:val="D34727" w:themeColor="accent1"/>
        </w:rPr>
        <w:t xml:space="preserve"> rely on it to meet application requirements.</w:t>
      </w:r>
    </w:p>
    <w:p w14:paraId="24DD566E" w14:textId="07ACD372" w:rsidR="00030DE9" w:rsidRPr="00082389" w:rsidRDefault="00030DE9" w:rsidP="00030DE9">
      <w:pPr>
        <w:pStyle w:val="NoSpacing"/>
        <w:jc w:val="center"/>
        <w:rPr>
          <w:rFonts w:cstheme="minorHAnsi"/>
          <w:b/>
          <w:bCs/>
          <w:i/>
          <w:iCs/>
          <w:color w:val="D34727" w:themeColor="accent1"/>
        </w:rPr>
      </w:pPr>
      <w:r w:rsidRPr="00082389">
        <w:rPr>
          <w:rFonts w:cstheme="minorHAnsi"/>
          <w:b/>
          <w:bCs/>
          <w:i/>
          <w:iCs/>
          <w:color w:val="D34727" w:themeColor="accent1"/>
        </w:rPr>
        <w:t>Study the full grant opportunity announcement before applying for any federal grant.</w:t>
      </w:r>
    </w:p>
    <w:p w14:paraId="0719BCEE" w14:textId="623149D4" w:rsidR="008F3ECA" w:rsidRPr="00E829CC" w:rsidRDefault="008F3ECA" w:rsidP="008F3ECA">
      <w:pPr>
        <w:pStyle w:val="NoSpacing"/>
        <w:rPr>
          <w:rFonts w:cstheme="minorHAnsi"/>
          <w:b/>
          <w:bCs/>
          <w:highlight w:val="yellow"/>
        </w:rPr>
      </w:pPr>
      <w:r w:rsidRPr="00E829CC">
        <w:rPr>
          <w:rFonts w:cstheme="minorHAnsi"/>
          <w:b/>
          <w:bCs/>
          <w:color w:val="023D67" w:themeColor="text2"/>
        </w:rPr>
        <w:t xml:space="preserve">Program Description </w:t>
      </w:r>
      <w:r w:rsidRPr="00E829CC">
        <w:rPr>
          <w:rFonts w:cstheme="minorHAnsi"/>
          <w:b/>
          <w:bCs/>
        </w:rPr>
        <w:t xml:space="preserve">– </w:t>
      </w:r>
      <w:r w:rsidR="00841C6B" w:rsidRPr="00E829CC">
        <w:rPr>
          <w:rFonts w:cstheme="minorHAnsi"/>
        </w:rPr>
        <w:t xml:space="preserve">The LCTM Program </w:t>
      </w:r>
      <w:r w:rsidR="00841C6B" w:rsidRPr="00E829CC">
        <w:rPr>
          <w:rFonts w:cstheme="minorHAnsi"/>
          <w:shd w:val="clear" w:color="auto" w:fill="FFFFFF"/>
        </w:rPr>
        <w:t xml:space="preserve">provides funding for the use of construction materials that have substantially lower levels of greenhouse gas (GHG) emissions. </w:t>
      </w:r>
      <w:r w:rsidR="0075092A" w:rsidRPr="00E829CC">
        <w:rPr>
          <w:rFonts w:cstheme="minorHAnsi"/>
        </w:rPr>
        <w:t xml:space="preserve">The purpose of the </w:t>
      </w:r>
      <w:r w:rsidR="0075092A" w:rsidRPr="00E829CC">
        <w:rPr>
          <w:rFonts w:cstheme="minorHAnsi"/>
        </w:rPr>
        <w:t>p</w:t>
      </w:r>
      <w:r w:rsidR="0075092A" w:rsidRPr="00E829CC">
        <w:rPr>
          <w:rFonts w:cstheme="minorHAnsi"/>
        </w:rPr>
        <w:t>rogram is to reimburse the incrementally higher costs of using or provide an incentive amount to eligible recipients for the use, in projects, of construction materials and products that have substantially lower levels of embodied GHG emissions, as described by the Environmental Protection Agency (EPA), associated with all relevant stages of production, use, and disposal as compared to estimated industry averages of similar materials or products</w:t>
      </w:r>
      <w:r w:rsidR="0075092A" w:rsidRPr="00E829CC">
        <w:rPr>
          <w:rFonts w:cstheme="minorHAnsi"/>
        </w:rPr>
        <w:t xml:space="preserve">. Under this NOFO, </w:t>
      </w:r>
      <w:r w:rsidR="0075092A" w:rsidRPr="00E829CC">
        <w:rPr>
          <w:rFonts w:cstheme="minorHAnsi"/>
        </w:rPr>
        <w:t>qualifying concrete (and cement), glass, asphalt mix, and steel materials/products that meet the substantially lower embodied carbon requirements are currently eligible.</w:t>
      </w:r>
    </w:p>
    <w:tbl>
      <w:tblPr>
        <w:tblStyle w:val="TableGrid"/>
        <w:tblW w:w="10795" w:type="dxa"/>
        <w:tblLook w:val="04A0" w:firstRow="1" w:lastRow="0" w:firstColumn="1" w:lastColumn="0" w:noHBand="0" w:noVBand="1"/>
      </w:tblPr>
      <w:tblGrid>
        <w:gridCol w:w="3235"/>
        <w:gridCol w:w="1890"/>
        <w:gridCol w:w="291"/>
        <w:gridCol w:w="2769"/>
        <w:gridCol w:w="593"/>
        <w:gridCol w:w="2017"/>
      </w:tblGrid>
      <w:tr w:rsidR="00C022C8" w:rsidRPr="00E829CC" w14:paraId="5DCB8485" w14:textId="77777777" w:rsidTr="00F55A49">
        <w:tc>
          <w:tcPr>
            <w:tcW w:w="5416" w:type="dxa"/>
            <w:gridSpan w:val="3"/>
          </w:tcPr>
          <w:p w14:paraId="38C7D2D3" w14:textId="040F7E8B" w:rsidR="00EB4A79" w:rsidRPr="00E829CC" w:rsidRDefault="00EB4A79" w:rsidP="00ED44D0">
            <w:pPr>
              <w:pStyle w:val="Heading3"/>
              <w:shd w:val="clear" w:color="auto" w:fill="FFFFFF"/>
              <w:spacing w:before="0" w:beforeAutospacing="0" w:after="0" w:afterAutospacing="0"/>
              <w:rPr>
                <w:rFonts w:asciiTheme="minorHAnsi" w:hAnsiTheme="minorHAnsi" w:cstheme="minorHAnsi"/>
                <w:b w:val="0"/>
                <w:bCs w:val="0"/>
                <w:color w:val="000000"/>
                <w:sz w:val="22"/>
                <w:szCs w:val="22"/>
                <w:highlight w:val="yellow"/>
              </w:rPr>
            </w:pPr>
            <w:r w:rsidRPr="00E829CC">
              <w:rPr>
                <w:rFonts w:asciiTheme="minorHAnsi" w:eastAsiaTheme="minorHAnsi" w:hAnsiTheme="minorHAnsi" w:cstheme="minorHAnsi"/>
                <w:color w:val="023D67" w:themeColor="text2"/>
                <w:sz w:val="22"/>
                <w:szCs w:val="22"/>
              </w:rPr>
              <w:t>Opportunity Number</w:t>
            </w:r>
            <w:r w:rsidR="00DB03F0" w:rsidRPr="00E829CC">
              <w:rPr>
                <w:rFonts w:asciiTheme="minorHAnsi" w:eastAsiaTheme="minorHAnsi" w:hAnsiTheme="minorHAnsi" w:cstheme="minorHAnsi"/>
                <w:color w:val="023D67" w:themeColor="text2"/>
                <w:sz w:val="22"/>
                <w:szCs w:val="22"/>
              </w:rPr>
              <w:t>s</w:t>
            </w:r>
            <w:r w:rsidRPr="00E829CC">
              <w:rPr>
                <w:rFonts w:asciiTheme="minorHAnsi" w:hAnsiTheme="minorHAnsi" w:cstheme="minorHAnsi"/>
                <w:color w:val="023D67" w:themeColor="text2"/>
                <w:sz w:val="22"/>
                <w:szCs w:val="22"/>
              </w:rPr>
              <w:t xml:space="preserve"> </w:t>
            </w:r>
            <w:r w:rsidRPr="00E829CC">
              <w:rPr>
                <w:rFonts w:asciiTheme="minorHAnsi" w:hAnsiTheme="minorHAnsi" w:cstheme="minorHAnsi"/>
                <w:sz w:val="22"/>
                <w:szCs w:val="22"/>
              </w:rPr>
              <w:t xml:space="preserve">– </w:t>
            </w:r>
            <w:r w:rsidR="00841C6B" w:rsidRPr="00E829CC">
              <w:rPr>
                <w:rStyle w:val="search-custom-heading"/>
                <w:rFonts w:asciiTheme="minorHAnsi" w:hAnsiTheme="minorHAnsi" w:cstheme="minorHAnsi"/>
                <w:b w:val="0"/>
                <w:bCs w:val="0"/>
                <w:color w:val="000080"/>
                <w:sz w:val="22"/>
                <w:szCs w:val="22"/>
              </w:rPr>
              <w:t>693JJ325NF00002</w:t>
            </w:r>
          </w:p>
        </w:tc>
        <w:tc>
          <w:tcPr>
            <w:tcW w:w="5379" w:type="dxa"/>
            <w:gridSpan w:val="3"/>
          </w:tcPr>
          <w:p w14:paraId="64EFC7A9" w14:textId="256DF4EF" w:rsidR="00EB4A79" w:rsidRPr="00E829CC" w:rsidRDefault="00EB4A79" w:rsidP="00EB4A79">
            <w:pPr>
              <w:pStyle w:val="NoSpacing"/>
              <w:rPr>
                <w:rFonts w:cstheme="minorHAnsi"/>
                <w:highlight w:val="yellow"/>
              </w:rPr>
            </w:pPr>
            <w:r w:rsidRPr="00E829CC">
              <w:rPr>
                <w:rFonts w:cstheme="minorHAnsi"/>
                <w:b/>
                <w:bCs/>
                <w:color w:val="023D67" w:themeColor="text2"/>
              </w:rPr>
              <w:t>Agency</w:t>
            </w:r>
            <w:r w:rsidRPr="00E829CC">
              <w:rPr>
                <w:rFonts w:cstheme="minorHAnsi"/>
                <w:b/>
                <w:bCs/>
                <w:color w:val="000000" w:themeColor="text1"/>
              </w:rPr>
              <w:t xml:space="preserve"> –</w:t>
            </w:r>
            <w:r w:rsidRPr="00E829CC">
              <w:rPr>
                <w:rFonts w:cstheme="minorHAnsi"/>
              </w:rPr>
              <w:t xml:space="preserve"> </w:t>
            </w:r>
            <w:r w:rsidR="004A21F7" w:rsidRPr="00E829CC">
              <w:rPr>
                <w:rFonts w:cstheme="minorHAnsi"/>
              </w:rPr>
              <w:t>USDOT</w:t>
            </w:r>
            <w:r w:rsidR="00841C6B" w:rsidRPr="00E829CC">
              <w:rPr>
                <w:rFonts w:cstheme="minorHAnsi"/>
              </w:rPr>
              <w:t xml:space="preserve"> FH</w:t>
            </w:r>
            <w:r w:rsidR="002946BD" w:rsidRPr="00E829CC">
              <w:rPr>
                <w:rFonts w:cstheme="minorHAnsi"/>
              </w:rPr>
              <w:t>W</w:t>
            </w:r>
            <w:r w:rsidR="00841C6B" w:rsidRPr="00E829CC">
              <w:rPr>
                <w:rFonts w:cstheme="minorHAnsi"/>
              </w:rPr>
              <w:t>A</w:t>
            </w:r>
          </w:p>
        </w:tc>
      </w:tr>
      <w:tr w:rsidR="00C022C8" w:rsidRPr="00E829CC" w14:paraId="5E6728EE" w14:textId="77777777" w:rsidTr="00F55A49">
        <w:tc>
          <w:tcPr>
            <w:tcW w:w="5416" w:type="dxa"/>
            <w:gridSpan w:val="3"/>
          </w:tcPr>
          <w:p w14:paraId="0D7688F5" w14:textId="204F7060" w:rsidR="0071375E" w:rsidRPr="00E829CC" w:rsidRDefault="0071375E" w:rsidP="0071375E">
            <w:pPr>
              <w:pStyle w:val="NoSpacing"/>
              <w:rPr>
                <w:rFonts w:cstheme="minorHAnsi"/>
                <w:highlight w:val="yellow"/>
              </w:rPr>
            </w:pPr>
            <w:r w:rsidRPr="00E829CC">
              <w:rPr>
                <w:rFonts w:cstheme="minorHAnsi"/>
                <w:b/>
                <w:bCs/>
                <w:color w:val="023D67" w:themeColor="text2"/>
              </w:rPr>
              <w:t>Obligation Deadline</w:t>
            </w:r>
            <w:r w:rsidRPr="00E829CC">
              <w:rPr>
                <w:rFonts w:cstheme="minorHAnsi"/>
                <w:b/>
                <w:bCs/>
                <w:color w:val="000000" w:themeColor="text1"/>
              </w:rPr>
              <w:t>:</w:t>
            </w:r>
            <w:r w:rsidRPr="00E829CC">
              <w:rPr>
                <w:rFonts w:cstheme="minorHAnsi"/>
              </w:rPr>
              <w:t xml:space="preserve"> September 30, 20</w:t>
            </w:r>
            <w:r w:rsidR="002946BD" w:rsidRPr="00E829CC">
              <w:rPr>
                <w:rFonts w:cstheme="minorHAnsi"/>
              </w:rPr>
              <w:t>26</w:t>
            </w:r>
          </w:p>
        </w:tc>
        <w:tc>
          <w:tcPr>
            <w:tcW w:w="3362" w:type="dxa"/>
            <w:gridSpan w:val="2"/>
          </w:tcPr>
          <w:p w14:paraId="7ED54465" w14:textId="379ED251" w:rsidR="0071375E" w:rsidRPr="00E829CC" w:rsidRDefault="0071375E" w:rsidP="0071375E">
            <w:pPr>
              <w:pStyle w:val="NoSpacing"/>
              <w:rPr>
                <w:rFonts w:cstheme="minorHAnsi"/>
              </w:rPr>
            </w:pPr>
            <w:r w:rsidRPr="00E829CC">
              <w:rPr>
                <w:rFonts w:cstheme="minorHAnsi"/>
                <w:b/>
                <w:bCs/>
                <w:color w:val="023D67" w:themeColor="text2"/>
              </w:rPr>
              <w:t>Closing</w:t>
            </w:r>
            <w:r w:rsidRPr="00E829CC">
              <w:rPr>
                <w:rFonts w:cstheme="minorHAnsi"/>
                <w:b/>
                <w:bCs/>
                <w:color w:val="000000" w:themeColor="text1"/>
              </w:rPr>
              <w:t xml:space="preserve"> –</w:t>
            </w:r>
            <w:r w:rsidRPr="00E829CC">
              <w:rPr>
                <w:rFonts w:cstheme="minorHAnsi"/>
              </w:rPr>
              <w:t xml:space="preserve"> </w:t>
            </w:r>
            <w:r w:rsidR="00841C6B" w:rsidRPr="00E829CC">
              <w:rPr>
                <w:rFonts w:cstheme="minorHAnsi"/>
              </w:rPr>
              <w:t>Nov</w:t>
            </w:r>
            <w:r w:rsidR="00E829CC" w:rsidRPr="00E829CC">
              <w:rPr>
                <w:rFonts w:cstheme="minorHAnsi"/>
              </w:rPr>
              <w:t>ember</w:t>
            </w:r>
            <w:r w:rsidR="00841C6B" w:rsidRPr="00E829CC">
              <w:rPr>
                <w:rFonts w:cstheme="minorHAnsi"/>
              </w:rPr>
              <w:t xml:space="preserve"> 25, 2024</w:t>
            </w:r>
            <w:r w:rsidRPr="00E829CC">
              <w:rPr>
                <w:rFonts w:cstheme="minorHAnsi"/>
              </w:rPr>
              <w:t>, 11:59 PM EST</w:t>
            </w:r>
          </w:p>
        </w:tc>
        <w:tc>
          <w:tcPr>
            <w:tcW w:w="2017" w:type="dxa"/>
          </w:tcPr>
          <w:p w14:paraId="1770D34F" w14:textId="1248A445" w:rsidR="0071375E" w:rsidRPr="00E829CC" w:rsidRDefault="0071375E" w:rsidP="0071375E">
            <w:pPr>
              <w:pStyle w:val="NoSpacing"/>
              <w:rPr>
                <w:rFonts w:cstheme="minorHAnsi"/>
                <w:highlight w:val="yellow"/>
              </w:rPr>
            </w:pPr>
            <w:r w:rsidRPr="00E829CC">
              <w:rPr>
                <w:rFonts w:cstheme="minorHAnsi"/>
                <w:b/>
                <w:bCs/>
                <w:color w:val="023D67" w:themeColor="text2"/>
              </w:rPr>
              <w:t>BCA Required?</w:t>
            </w:r>
            <w:r w:rsidRPr="00E829CC">
              <w:rPr>
                <w:rFonts w:cstheme="minorHAnsi"/>
                <w:color w:val="023D67" w:themeColor="text2"/>
              </w:rPr>
              <w:t xml:space="preserve">  </w:t>
            </w:r>
            <w:r w:rsidR="00ED7241" w:rsidRPr="00E829CC">
              <w:rPr>
                <w:rFonts w:cstheme="minorHAnsi"/>
              </w:rPr>
              <w:t>No</w:t>
            </w:r>
          </w:p>
        </w:tc>
      </w:tr>
      <w:tr w:rsidR="00C022C8" w:rsidRPr="00E829CC" w14:paraId="7BE718BE" w14:textId="77777777" w:rsidTr="00F55A49">
        <w:tc>
          <w:tcPr>
            <w:tcW w:w="5416" w:type="dxa"/>
            <w:gridSpan w:val="3"/>
          </w:tcPr>
          <w:p w14:paraId="2D93C82E" w14:textId="2476C3A3" w:rsidR="0071375E" w:rsidRPr="00E829CC" w:rsidRDefault="0071375E" w:rsidP="002946BD">
            <w:pPr>
              <w:pStyle w:val="NoSpacing"/>
              <w:rPr>
                <w:rFonts w:cstheme="minorHAnsi"/>
                <w:b/>
                <w:bCs/>
                <w:highlight w:val="yellow"/>
              </w:rPr>
            </w:pPr>
            <w:r w:rsidRPr="00E829CC">
              <w:rPr>
                <w:rFonts w:cstheme="minorHAnsi"/>
                <w:b/>
                <w:bCs/>
                <w:color w:val="023D67" w:themeColor="text2"/>
              </w:rPr>
              <w:t>Available Funding</w:t>
            </w:r>
            <w:r w:rsidRPr="00E829CC">
              <w:rPr>
                <w:rFonts w:cstheme="minorHAnsi"/>
                <w:b/>
                <w:bCs/>
                <w:color w:val="000000" w:themeColor="text1"/>
              </w:rPr>
              <w:t>:</w:t>
            </w:r>
            <w:r w:rsidRPr="00E829CC">
              <w:rPr>
                <w:rFonts w:cstheme="minorHAnsi"/>
              </w:rPr>
              <w:t xml:space="preserve">  Up to $</w:t>
            </w:r>
            <w:r w:rsidR="002946BD" w:rsidRPr="00E829CC">
              <w:rPr>
                <w:rFonts w:cstheme="minorHAnsi"/>
              </w:rPr>
              <w:t>800 million</w:t>
            </w:r>
          </w:p>
        </w:tc>
        <w:tc>
          <w:tcPr>
            <w:tcW w:w="5379" w:type="dxa"/>
            <w:gridSpan w:val="3"/>
          </w:tcPr>
          <w:p w14:paraId="19736B46" w14:textId="334DC48A" w:rsidR="0071375E" w:rsidRPr="00E829CC" w:rsidRDefault="0071375E" w:rsidP="0071375E">
            <w:pPr>
              <w:pStyle w:val="NoSpacing"/>
              <w:rPr>
                <w:rFonts w:cstheme="minorHAnsi"/>
                <w:b/>
                <w:bCs/>
                <w:highlight w:val="yellow"/>
              </w:rPr>
            </w:pPr>
            <w:r w:rsidRPr="00E829CC">
              <w:rPr>
                <w:rFonts w:cstheme="minorHAnsi"/>
                <w:b/>
                <w:bCs/>
                <w:color w:val="023D67" w:themeColor="text2"/>
              </w:rPr>
              <w:t xml:space="preserve">NOFO &amp; Related </w:t>
            </w:r>
            <w:r w:rsidRPr="00E829CC">
              <w:rPr>
                <w:rFonts w:cstheme="minorHAnsi"/>
                <w:b/>
                <w:bCs/>
                <w:color w:val="000000" w:themeColor="text1"/>
              </w:rPr>
              <w:t>–</w:t>
            </w:r>
            <w:r w:rsidRPr="00E829CC">
              <w:rPr>
                <w:rFonts w:cstheme="minorHAnsi"/>
                <w:b/>
                <w:bCs/>
              </w:rPr>
              <w:t xml:space="preserve"> </w:t>
            </w:r>
            <w:hyperlink r:id="rId8" w:history="1">
              <w:r w:rsidR="00841C6B" w:rsidRPr="00E829CC">
                <w:rPr>
                  <w:rStyle w:val="Hyperlink"/>
                  <w:rFonts w:cstheme="minorHAnsi"/>
                </w:rPr>
                <w:t>https://www.grants.gov/search-results-detail/356233</w:t>
              </w:r>
            </w:hyperlink>
          </w:p>
        </w:tc>
      </w:tr>
      <w:tr w:rsidR="00C022C8" w:rsidRPr="00E829CC" w14:paraId="606DED08" w14:textId="77777777" w:rsidTr="00F55A49">
        <w:tc>
          <w:tcPr>
            <w:tcW w:w="5416" w:type="dxa"/>
            <w:gridSpan w:val="3"/>
          </w:tcPr>
          <w:p w14:paraId="0A4E3F62" w14:textId="62F72E63" w:rsidR="0071375E" w:rsidRPr="00E829CC" w:rsidRDefault="0071375E" w:rsidP="0071375E">
            <w:pPr>
              <w:pStyle w:val="NoSpacing"/>
              <w:rPr>
                <w:rFonts w:cstheme="minorHAnsi"/>
                <w:highlight w:val="yellow"/>
              </w:rPr>
            </w:pPr>
            <w:r w:rsidRPr="00E829CC">
              <w:rPr>
                <w:rFonts w:cstheme="minorHAnsi"/>
                <w:b/>
                <w:bCs/>
                <w:color w:val="023D67" w:themeColor="text2"/>
              </w:rPr>
              <w:t>Minimum Award</w:t>
            </w:r>
            <w:r w:rsidRPr="00E829CC">
              <w:rPr>
                <w:rFonts w:cstheme="minorHAnsi"/>
                <w:b/>
                <w:bCs/>
                <w:color w:val="000000" w:themeColor="text1"/>
              </w:rPr>
              <w:t>:</w:t>
            </w:r>
            <w:r w:rsidRPr="00E829CC">
              <w:rPr>
                <w:rFonts w:cstheme="minorHAnsi"/>
              </w:rPr>
              <w:t xml:space="preserve">  </w:t>
            </w:r>
            <w:r w:rsidR="002946BD" w:rsidRPr="00E829CC">
              <w:rPr>
                <w:rFonts w:cstheme="minorHAnsi"/>
              </w:rPr>
              <w:t>No minimum or maximum award amount</w:t>
            </w:r>
            <w:r w:rsidR="0075092A" w:rsidRPr="00E829CC">
              <w:rPr>
                <w:rFonts w:cstheme="minorHAnsi"/>
              </w:rPr>
              <w:t>.</w:t>
            </w:r>
          </w:p>
        </w:tc>
        <w:tc>
          <w:tcPr>
            <w:tcW w:w="5379" w:type="dxa"/>
            <w:gridSpan w:val="3"/>
          </w:tcPr>
          <w:p w14:paraId="76E23DE8" w14:textId="79FCA726" w:rsidR="0071375E" w:rsidRPr="00E829CC" w:rsidRDefault="0071375E" w:rsidP="0071375E">
            <w:pPr>
              <w:pStyle w:val="NoSpacing"/>
              <w:rPr>
                <w:rFonts w:cstheme="minorHAnsi"/>
                <w:highlight w:val="yellow"/>
              </w:rPr>
            </w:pPr>
            <w:r w:rsidRPr="00E829CC">
              <w:rPr>
                <w:rFonts w:cstheme="minorHAnsi"/>
                <w:b/>
                <w:bCs/>
                <w:color w:val="023D67" w:themeColor="text2"/>
              </w:rPr>
              <w:t>Eligible Project Cost Restrictions</w:t>
            </w:r>
            <w:r w:rsidRPr="00E829CC">
              <w:rPr>
                <w:rFonts w:cstheme="minorHAnsi"/>
                <w:b/>
                <w:bCs/>
                <w:color w:val="000000" w:themeColor="text1"/>
              </w:rPr>
              <w:t>:</w:t>
            </w:r>
            <w:r w:rsidRPr="00E829CC">
              <w:rPr>
                <w:rFonts w:cstheme="minorHAnsi"/>
                <w:color w:val="000000" w:themeColor="text1"/>
              </w:rPr>
              <w:t xml:space="preserve"> </w:t>
            </w:r>
            <w:r w:rsidR="002946BD" w:rsidRPr="00E829CC">
              <w:rPr>
                <w:rFonts w:cstheme="minorHAnsi"/>
              </w:rPr>
              <w:t>The program is not intended to fund entire construction projects. While LCTM funds are eligible for up to 100 percent Federal share, LCTM funds may only be applied to eligible activities associated with the use of the low carbon transportation material.</w:t>
            </w:r>
          </w:p>
        </w:tc>
      </w:tr>
      <w:tr w:rsidR="00C022C8" w:rsidRPr="00E829CC" w14:paraId="31453E80" w14:textId="77777777" w:rsidTr="0075092A">
        <w:trPr>
          <w:trHeight w:val="1538"/>
        </w:trPr>
        <w:tc>
          <w:tcPr>
            <w:tcW w:w="5416" w:type="dxa"/>
            <w:gridSpan w:val="3"/>
            <w:vMerge w:val="restart"/>
          </w:tcPr>
          <w:p w14:paraId="054126D9" w14:textId="128A646E" w:rsidR="002946BD" w:rsidRPr="00E829CC" w:rsidRDefault="0071375E" w:rsidP="002946BD">
            <w:pPr>
              <w:pStyle w:val="NoSpacing"/>
              <w:rPr>
                <w:rFonts w:cstheme="minorHAnsi"/>
                <w:color w:val="000000"/>
              </w:rPr>
            </w:pPr>
            <w:r w:rsidRPr="00E829CC">
              <w:rPr>
                <w:rFonts w:cstheme="minorHAnsi"/>
                <w:b/>
                <w:bCs/>
                <w:color w:val="023D67" w:themeColor="text2"/>
              </w:rPr>
              <w:t>Eligib</w:t>
            </w:r>
            <w:r w:rsidR="00ED7241" w:rsidRPr="00E829CC">
              <w:rPr>
                <w:rFonts w:cstheme="minorHAnsi"/>
                <w:b/>
                <w:bCs/>
                <w:color w:val="023D67" w:themeColor="text2"/>
              </w:rPr>
              <w:t>le Activities</w:t>
            </w:r>
            <w:r w:rsidRPr="00E829CC">
              <w:rPr>
                <w:rFonts w:cstheme="minorHAnsi"/>
                <w:b/>
                <w:bCs/>
                <w:color w:val="000000" w:themeColor="text1"/>
              </w:rPr>
              <w:t>:</w:t>
            </w:r>
            <w:r w:rsidR="002946BD" w:rsidRPr="00E829CC">
              <w:rPr>
                <w:rFonts w:cstheme="minorHAnsi"/>
                <w:b/>
                <w:bCs/>
                <w:color w:val="000000" w:themeColor="text1"/>
              </w:rPr>
              <w:t xml:space="preserve"> </w:t>
            </w:r>
            <w:r w:rsidR="00E829CC" w:rsidRPr="00E829CC">
              <w:rPr>
                <w:rFonts w:cstheme="minorHAnsi"/>
                <w:color w:val="000000" w:themeColor="text1"/>
              </w:rPr>
              <w:t>broad list (s</w:t>
            </w:r>
            <w:r w:rsidR="00E829CC" w:rsidRPr="00E829CC">
              <w:rPr>
                <w:rFonts w:cstheme="minorHAnsi"/>
                <w:i/>
                <w:iCs/>
                <w:color w:val="000000"/>
              </w:rPr>
              <w:t>ee NOFO pages 12-17 for detail</w:t>
            </w:r>
            <w:r w:rsidR="00E829CC" w:rsidRPr="00E829CC">
              <w:rPr>
                <w:rFonts w:cstheme="minorHAnsi"/>
                <w:i/>
                <w:iCs/>
                <w:color w:val="000000"/>
              </w:rPr>
              <w:t>)</w:t>
            </w:r>
            <w:r w:rsidR="00E829CC" w:rsidRPr="00E829CC">
              <w:rPr>
                <w:rFonts w:cstheme="minorHAnsi"/>
                <w:color w:val="000000" w:themeColor="text1"/>
              </w:rPr>
              <w:t xml:space="preserve"> </w:t>
            </w:r>
            <w:r w:rsidR="00ED7241" w:rsidRPr="00E829CC">
              <w:rPr>
                <w:rFonts w:cstheme="minorHAnsi"/>
                <w:color w:val="000000" w:themeColor="text1"/>
              </w:rPr>
              <w:t>could include, but not be limited to</w:t>
            </w:r>
            <w:r w:rsidR="00ED7241" w:rsidRPr="00E829CC">
              <w:rPr>
                <w:rFonts w:cstheme="minorHAnsi"/>
                <w:color w:val="000000" w:themeColor="text1"/>
              </w:rPr>
              <w:t>:</w:t>
            </w:r>
          </w:p>
          <w:p w14:paraId="50E9609A" w14:textId="77777777" w:rsidR="006227D7" w:rsidRPr="00E829CC" w:rsidRDefault="006227D7" w:rsidP="006227D7">
            <w:pPr>
              <w:pStyle w:val="NoSpacing"/>
              <w:numPr>
                <w:ilvl w:val="0"/>
                <w:numId w:val="10"/>
              </w:numPr>
              <w:rPr>
                <w:rFonts w:cstheme="minorHAnsi"/>
                <w:color w:val="000000"/>
              </w:rPr>
            </w:pPr>
            <w:r w:rsidRPr="00E829CC">
              <w:rPr>
                <w:rFonts w:cstheme="minorHAnsi"/>
                <w:color w:val="000000"/>
              </w:rPr>
              <w:t>Low Carbon Transportation Materials Identification Process Development</w:t>
            </w:r>
          </w:p>
          <w:p w14:paraId="40407BE0" w14:textId="77777777" w:rsidR="006227D7" w:rsidRPr="00E829CC" w:rsidRDefault="006227D7" w:rsidP="006227D7">
            <w:pPr>
              <w:pStyle w:val="NoSpacing"/>
              <w:numPr>
                <w:ilvl w:val="0"/>
                <w:numId w:val="10"/>
              </w:numPr>
              <w:rPr>
                <w:rFonts w:cstheme="minorHAnsi"/>
                <w:color w:val="000000"/>
              </w:rPr>
            </w:pPr>
            <w:r w:rsidRPr="00E829CC">
              <w:rPr>
                <w:rFonts w:cstheme="minorHAnsi"/>
                <w:color w:val="000000"/>
              </w:rPr>
              <w:t>Use of Eligible Materials on Construction Projects</w:t>
            </w:r>
            <w:r w:rsidRPr="00E829CC">
              <w:rPr>
                <w:rFonts w:cstheme="minorHAnsi"/>
                <w:color w:val="000000"/>
              </w:rPr>
              <w:br/>
            </w:r>
          </w:p>
          <w:p w14:paraId="1DD1FC98" w14:textId="647F2B77" w:rsidR="006227D7" w:rsidRPr="00E829CC" w:rsidRDefault="006227D7" w:rsidP="006227D7">
            <w:pPr>
              <w:pStyle w:val="NoSpacing"/>
              <w:rPr>
                <w:rFonts w:cstheme="minorHAnsi"/>
                <w:i/>
                <w:iCs/>
                <w:color w:val="000000"/>
                <w:highlight w:val="yellow"/>
              </w:rPr>
            </w:pPr>
          </w:p>
        </w:tc>
        <w:tc>
          <w:tcPr>
            <w:tcW w:w="5379" w:type="dxa"/>
            <w:gridSpan w:val="3"/>
          </w:tcPr>
          <w:p w14:paraId="1BD40EB7" w14:textId="4A684EDC" w:rsidR="0071375E" w:rsidRPr="00E829CC" w:rsidRDefault="0071375E" w:rsidP="0075092A">
            <w:pPr>
              <w:pStyle w:val="NoSpacing"/>
              <w:rPr>
                <w:rFonts w:cstheme="minorHAnsi"/>
                <w:highlight w:val="yellow"/>
              </w:rPr>
            </w:pPr>
            <w:r w:rsidRPr="00E829CC">
              <w:rPr>
                <w:rFonts w:cstheme="minorHAnsi"/>
                <w:b/>
                <w:bCs/>
                <w:color w:val="023D67" w:themeColor="text2"/>
              </w:rPr>
              <w:t>Required Cost Share</w:t>
            </w:r>
            <w:r w:rsidRPr="00E829CC">
              <w:rPr>
                <w:rFonts w:cstheme="minorHAnsi"/>
                <w:b/>
                <w:bCs/>
                <w:color w:val="000000" w:themeColor="text1"/>
              </w:rPr>
              <w:t>:</w:t>
            </w:r>
            <w:r w:rsidRPr="00E829CC">
              <w:rPr>
                <w:rFonts w:cstheme="minorHAnsi"/>
              </w:rPr>
              <w:t xml:space="preserve"> </w:t>
            </w:r>
            <w:r w:rsidR="0075092A" w:rsidRPr="00E829CC">
              <w:rPr>
                <w:rFonts w:cstheme="minorHAnsi"/>
              </w:rPr>
              <w:t xml:space="preserve">None. </w:t>
            </w:r>
            <w:r w:rsidR="002946BD" w:rsidRPr="00E829CC">
              <w:rPr>
                <w:rFonts w:cstheme="minorHAnsi"/>
              </w:rPr>
              <w:t>This program may reimburse an amount equal to the incrementally higher cost of using eligible materials and products or an incentive amount equal to 2 percent of the cost of using low-embodied carbon materials</w:t>
            </w:r>
            <w:r w:rsidR="0075092A" w:rsidRPr="00E829CC">
              <w:rPr>
                <w:rFonts w:cstheme="minorHAnsi"/>
              </w:rPr>
              <w:t>.</w:t>
            </w:r>
          </w:p>
        </w:tc>
      </w:tr>
      <w:tr w:rsidR="00C022C8" w:rsidRPr="00E829CC" w14:paraId="30C22BB2" w14:textId="77777777" w:rsidTr="0075092A">
        <w:trPr>
          <w:trHeight w:val="1250"/>
        </w:trPr>
        <w:tc>
          <w:tcPr>
            <w:tcW w:w="5416" w:type="dxa"/>
            <w:gridSpan w:val="3"/>
            <w:vMerge/>
            <w:tcBorders>
              <w:bottom w:val="single" w:sz="24" w:space="0" w:color="auto"/>
            </w:tcBorders>
          </w:tcPr>
          <w:p w14:paraId="7A399FA5" w14:textId="77777777" w:rsidR="0071375E" w:rsidRPr="00E829CC" w:rsidRDefault="0071375E" w:rsidP="0071375E">
            <w:pPr>
              <w:pStyle w:val="NoSpacing"/>
              <w:rPr>
                <w:rFonts w:cstheme="minorHAnsi"/>
                <w:b/>
                <w:bCs/>
                <w:color w:val="000000"/>
                <w:highlight w:val="yellow"/>
              </w:rPr>
            </w:pPr>
          </w:p>
        </w:tc>
        <w:tc>
          <w:tcPr>
            <w:tcW w:w="5379" w:type="dxa"/>
            <w:gridSpan w:val="3"/>
            <w:tcBorders>
              <w:bottom w:val="single" w:sz="24" w:space="0" w:color="auto"/>
            </w:tcBorders>
          </w:tcPr>
          <w:p w14:paraId="0FAE676B" w14:textId="57670285" w:rsidR="0071375E" w:rsidRPr="00E829CC" w:rsidRDefault="00E829CC" w:rsidP="00F55A49">
            <w:pPr>
              <w:pStyle w:val="NoSpacing"/>
              <w:rPr>
                <w:rFonts w:cstheme="minorHAnsi"/>
              </w:rPr>
            </w:pPr>
            <w:r w:rsidRPr="00E829CC">
              <w:rPr>
                <w:rFonts w:cstheme="minorHAnsi"/>
                <w:b/>
                <w:bCs/>
                <w:color w:val="023D67" w:themeColor="text2"/>
              </w:rPr>
              <w:t>Project</w:t>
            </w:r>
            <w:r w:rsidR="0075092A" w:rsidRPr="00E829CC">
              <w:rPr>
                <w:rFonts w:cstheme="minorHAnsi"/>
                <w:b/>
                <w:bCs/>
                <w:color w:val="023D67" w:themeColor="text2"/>
              </w:rPr>
              <w:t xml:space="preserve"> Limitation</w:t>
            </w:r>
            <w:r w:rsidR="0071375E" w:rsidRPr="00E829CC">
              <w:rPr>
                <w:rFonts w:cstheme="minorHAnsi"/>
                <w:b/>
                <w:bCs/>
                <w:color w:val="000000" w:themeColor="text1"/>
              </w:rPr>
              <w:t>:</w:t>
            </w:r>
            <w:r w:rsidR="00F55A49" w:rsidRPr="00E829CC">
              <w:rPr>
                <w:rFonts w:cstheme="minorHAnsi"/>
                <w:b/>
                <w:bCs/>
                <w:color w:val="000000" w:themeColor="text1"/>
              </w:rPr>
              <w:t xml:space="preserve"> </w:t>
            </w:r>
            <w:r w:rsidR="0075092A" w:rsidRPr="00E829CC">
              <w:rPr>
                <w:rFonts w:cstheme="minorHAnsi"/>
              </w:rPr>
              <w:t>LCTM funding shall not be used for projects that result in additional through travel lanes for single-occupant passenger vehicles.</w:t>
            </w:r>
          </w:p>
        </w:tc>
      </w:tr>
      <w:tr w:rsidR="0071375E" w:rsidRPr="00E829CC" w14:paraId="736A4C05" w14:textId="77777777" w:rsidTr="00F55A49">
        <w:tc>
          <w:tcPr>
            <w:tcW w:w="10795" w:type="dxa"/>
            <w:gridSpan w:val="6"/>
            <w:tcBorders>
              <w:top w:val="single" w:sz="24" w:space="0" w:color="auto"/>
              <w:left w:val="single" w:sz="24" w:space="0" w:color="auto"/>
              <w:right w:val="single" w:sz="24" w:space="0" w:color="auto"/>
            </w:tcBorders>
          </w:tcPr>
          <w:p w14:paraId="41E11834" w14:textId="1F21995F" w:rsidR="0071375E" w:rsidRPr="00E829CC" w:rsidRDefault="0071375E" w:rsidP="0071375E">
            <w:pPr>
              <w:pStyle w:val="NoSpacing"/>
              <w:rPr>
                <w:rFonts w:cstheme="minorHAnsi"/>
                <w:b/>
                <w:bCs/>
                <w:color w:val="000000"/>
                <w:highlight w:val="yellow"/>
              </w:rPr>
            </w:pPr>
            <w:r w:rsidRPr="00E829CC">
              <w:rPr>
                <w:rFonts w:cstheme="minorHAnsi"/>
                <w:b/>
                <w:bCs/>
                <w:color w:val="023D67" w:themeColor="text2"/>
              </w:rPr>
              <w:t>Project Outcome Criteria</w:t>
            </w:r>
            <w:r w:rsidRPr="00E829CC">
              <w:rPr>
                <w:rFonts w:cstheme="minorHAnsi"/>
                <w:b/>
                <w:bCs/>
                <w:color w:val="000000" w:themeColor="text1"/>
              </w:rPr>
              <w:t>:</w:t>
            </w:r>
            <w:r w:rsidRPr="00E829CC">
              <w:rPr>
                <w:rFonts w:cstheme="minorHAnsi"/>
                <w:color w:val="000000"/>
              </w:rPr>
              <w:t xml:space="preserve">  </w:t>
            </w:r>
            <w:r w:rsidR="00C022C8" w:rsidRPr="00E829CC">
              <w:rPr>
                <w:rFonts w:cstheme="minorHAnsi"/>
                <w:color w:val="000000"/>
              </w:rPr>
              <w:t xml:space="preserve">FHWA will award LCTM funds based on an evaluation of merit </w:t>
            </w:r>
            <w:r w:rsidR="00E829CC" w:rsidRPr="00E829CC">
              <w:rPr>
                <w:rFonts w:cstheme="minorHAnsi"/>
                <w:color w:val="000000"/>
              </w:rPr>
              <w:t xml:space="preserve">these </w:t>
            </w:r>
            <w:r w:rsidR="00C022C8" w:rsidRPr="00E829CC">
              <w:rPr>
                <w:rFonts w:cstheme="minorHAnsi"/>
                <w:color w:val="000000"/>
              </w:rPr>
              <w:t>criteria</w:t>
            </w:r>
            <w:r w:rsidR="00E829CC" w:rsidRPr="00E829CC">
              <w:rPr>
                <w:rFonts w:cstheme="minorHAnsi"/>
                <w:color w:val="000000"/>
              </w:rPr>
              <w:t>:</w:t>
            </w:r>
          </w:p>
        </w:tc>
      </w:tr>
      <w:tr w:rsidR="00C022C8" w:rsidRPr="00E829CC" w14:paraId="5E826124" w14:textId="77777777" w:rsidTr="00F55A49">
        <w:tc>
          <w:tcPr>
            <w:tcW w:w="3235" w:type="dxa"/>
            <w:tcBorders>
              <w:left w:val="single" w:sz="24" w:space="0" w:color="auto"/>
            </w:tcBorders>
          </w:tcPr>
          <w:p w14:paraId="4FF34072" w14:textId="756D4681" w:rsidR="00C022C8" w:rsidRPr="00E829CC" w:rsidRDefault="00C022C8" w:rsidP="0071375E">
            <w:pPr>
              <w:pStyle w:val="NoSpacing"/>
              <w:jc w:val="center"/>
              <w:rPr>
                <w:rFonts w:cstheme="minorHAnsi"/>
                <w:b/>
                <w:bCs/>
                <w:color w:val="023D67" w:themeColor="text2"/>
              </w:rPr>
            </w:pPr>
            <w:r w:rsidRPr="00E829CC">
              <w:rPr>
                <w:rFonts w:cstheme="minorHAnsi"/>
                <w:b/>
                <w:bCs/>
                <w:color w:val="023D67" w:themeColor="text2"/>
              </w:rPr>
              <w:t>Substantially Lower Embodied Carbon Identification</w:t>
            </w:r>
          </w:p>
        </w:tc>
        <w:tc>
          <w:tcPr>
            <w:tcW w:w="1890" w:type="dxa"/>
          </w:tcPr>
          <w:p w14:paraId="41FC2D28" w14:textId="4E1A000B" w:rsidR="00C022C8" w:rsidRPr="00E829CC" w:rsidRDefault="00C022C8" w:rsidP="0071375E">
            <w:pPr>
              <w:pStyle w:val="NoSpacing"/>
              <w:rPr>
                <w:rFonts w:cstheme="minorHAnsi"/>
                <w:b/>
                <w:bCs/>
                <w:color w:val="023D67" w:themeColor="text2"/>
              </w:rPr>
            </w:pPr>
            <w:r w:rsidRPr="00E829CC">
              <w:rPr>
                <w:rFonts w:cstheme="minorHAnsi"/>
                <w:b/>
                <w:bCs/>
                <w:color w:val="023D67" w:themeColor="text2"/>
              </w:rPr>
              <w:t>QA and Materials Acceptance</w:t>
            </w:r>
          </w:p>
        </w:tc>
        <w:tc>
          <w:tcPr>
            <w:tcW w:w="3060" w:type="dxa"/>
            <w:gridSpan w:val="2"/>
          </w:tcPr>
          <w:p w14:paraId="473F2A32" w14:textId="5364284D" w:rsidR="00C022C8" w:rsidRPr="00E829CC" w:rsidRDefault="00C022C8" w:rsidP="0071375E">
            <w:pPr>
              <w:pStyle w:val="NoSpacing"/>
              <w:rPr>
                <w:rFonts w:cstheme="minorHAnsi"/>
                <w:b/>
                <w:bCs/>
                <w:color w:val="023D67" w:themeColor="text2"/>
              </w:rPr>
            </w:pPr>
            <w:r w:rsidRPr="00E829CC">
              <w:rPr>
                <w:rFonts w:cstheme="minorHAnsi"/>
                <w:b/>
                <w:bCs/>
                <w:color w:val="023D67" w:themeColor="text2"/>
              </w:rPr>
              <w:t>Use of Materials and Products on Construction Projects</w:t>
            </w:r>
          </w:p>
        </w:tc>
        <w:tc>
          <w:tcPr>
            <w:tcW w:w="2610" w:type="dxa"/>
            <w:gridSpan w:val="2"/>
            <w:tcBorders>
              <w:right w:val="single" w:sz="24" w:space="0" w:color="auto"/>
            </w:tcBorders>
          </w:tcPr>
          <w:p w14:paraId="5D42926F" w14:textId="4E7AD753" w:rsidR="00C022C8" w:rsidRPr="00E829CC" w:rsidRDefault="00C022C8" w:rsidP="0071375E">
            <w:pPr>
              <w:pStyle w:val="NoSpacing"/>
              <w:rPr>
                <w:rFonts w:cstheme="minorHAnsi"/>
                <w:b/>
                <w:bCs/>
                <w:color w:val="023D67" w:themeColor="text2"/>
              </w:rPr>
            </w:pPr>
            <w:r w:rsidRPr="00E829CC">
              <w:rPr>
                <w:rFonts w:cstheme="minorHAnsi"/>
                <w:b/>
                <w:bCs/>
                <w:color w:val="023D67" w:themeColor="text2"/>
              </w:rPr>
              <w:t>Schedule and Budget</w:t>
            </w:r>
          </w:p>
        </w:tc>
      </w:tr>
      <w:tr w:rsidR="0071375E" w:rsidRPr="00E829CC" w14:paraId="7A72DE60" w14:textId="77777777" w:rsidTr="00F55A49">
        <w:tc>
          <w:tcPr>
            <w:tcW w:w="10795" w:type="dxa"/>
            <w:gridSpan w:val="6"/>
            <w:tcBorders>
              <w:left w:val="single" w:sz="24" w:space="0" w:color="auto"/>
              <w:right w:val="single" w:sz="24" w:space="0" w:color="auto"/>
            </w:tcBorders>
          </w:tcPr>
          <w:p w14:paraId="759838A8" w14:textId="67058942" w:rsidR="00C022C8" w:rsidRPr="00E829CC" w:rsidRDefault="00C022C8" w:rsidP="00C022C8">
            <w:pPr>
              <w:pStyle w:val="NoSpacing"/>
              <w:rPr>
                <w:rFonts w:cstheme="minorHAnsi"/>
                <w:color w:val="000000" w:themeColor="text1"/>
              </w:rPr>
            </w:pPr>
            <w:r w:rsidRPr="00E829CC">
              <w:rPr>
                <w:rFonts w:cstheme="minorHAnsi"/>
                <w:b/>
                <w:bCs/>
                <w:color w:val="023D67" w:themeColor="text2"/>
              </w:rPr>
              <w:t>Overall Application Rating</w:t>
            </w:r>
            <w:r w:rsidR="0071375E" w:rsidRPr="00E829CC">
              <w:rPr>
                <w:rFonts w:cstheme="minorHAnsi"/>
                <w:b/>
                <w:bCs/>
                <w:color w:val="023D67" w:themeColor="text2"/>
              </w:rPr>
              <w:t xml:space="preserve"> </w:t>
            </w:r>
            <w:r w:rsidR="0071375E" w:rsidRPr="00E829CC">
              <w:rPr>
                <w:rFonts w:cstheme="minorHAnsi"/>
                <w:b/>
                <w:bCs/>
                <w:color w:val="000000" w:themeColor="text1"/>
              </w:rPr>
              <w:t xml:space="preserve">– </w:t>
            </w:r>
            <w:r w:rsidRPr="00E829CC">
              <w:rPr>
                <w:rFonts w:cstheme="minorHAnsi"/>
                <w:color w:val="000000" w:themeColor="text1"/>
              </w:rPr>
              <w:t xml:space="preserve">FHWA will assign each eligible application an overall rating of “Responsive” or “Not Responsive”. </w:t>
            </w:r>
          </w:p>
          <w:p w14:paraId="1D8FE260" w14:textId="35E36D65" w:rsidR="00C022C8" w:rsidRPr="00E829CC" w:rsidRDefault="00C022C8" w:rsidP="00C022C8">
            <w:pPr>
              <w:pStyle w:val="NoSpacing"/>
              <w:numPr>
                <w:ilvl w:val="0"/>
                <w:numId w:val="11"/>
              </w:numPr>
              <w:rPr>
                <w:rFonts w:cstheme="minorHAnsi"/>
                <w:color w:val="000000" w:themeColor="text1"/>
              </w:rPr>
            </w:pPr>
            <w:r w:rsidRPr="00E829CC">
              <w:rPr>
                <w:rFonts w:cstheme="minorHAnsi"/>
                <w:color w:val="000000" w:themeColor="text1"/>
              </w:rPr>
              <w:t xml:space="preserve">A rating of </w:t>
            </w:r>
            <w:r w:rsidRPr="00E829CC">
              <w:rPr>
                <w:rFonts w:cstheme="minorHAnsi"/>
                <w:b/>
                <w:bCs/>
                <w:color w:val="000000" w:themeColor="text1"/>
              </w:rPr>
              <w:t>“Responsive”</w:t>
            </w:r>
            <w:r w:rsidRPr="00E829CC">
              <w:rPr>
                <w:rFonts w:cstheme="minorHAnsi"/>
                <w:color w:val="000000" w:themeColor="text1"/>
              </w:rPr>
              <w:t xml:space="preserve"> will be assigned to a project that</w:t>
            </w:r>
            <w:r w:rsidRPr="00E829CC">
              <w:rPr>
                <w:rFonts w:cstheme="minorHAnsi"/>
                <w:color w:val="000000" w:themeColor="text1"/>
              </w:rPr>
              <w:t xml:space="preserve"> s</w:t>
            </w:r>
            <w:r w:rsidRPr="00E829CC">
              <w:rPr>
                <w:rFonts w:cstheme="minorHAnsi"/>
                <w:color w:val="000000" w:themeColor="text1"/>
              </w:rPr>
              <w:t>ubstantively addresses each evaluation factor and provides sufficient information to determine that the project meets statutory eligible application criteria.</w:t>
            </w:r>
          </w:p>
          <w:p w14:paraId="4AD5783F" w14:textId="19BB85CD" w:rsidR="0071375E" w:rsidRPr="00E829CC" w:rsidRDefault="00C022C8" w:rsidP="00C022C8">
            <w:pPr>
              <w:pStyle w:val="NoSpacing"/>
              <w:numPr>
                <w:ilvl w:val="0"/>
                <w:numId w:val="11"/>
              </w:numPr>
              <w:rPr>
                <w:rFonts w:cstheme="minorHAnsi"/>
                <w:b/>
                <w:bCs/>
                <w:color w:val="000000"/>
              </w:rPr>
            </w:pPr>
            <w:r w:rsidRPr="00E829CC">
              <w:rPr>
                <w:rFonts w:cstheme="minorHAnsi"/>
                <w:color w:val="000000" w:themeColor="text1"/>
              </w:rPr>
              <w:t xml:space="preserve">A rating of </w:t>
            </w:r>
            <w:r w:rsidRPr="00E829CC">
              <w:rPr>
                <w:rFonts w:cstheme="minorHAnsi"/>
                <w:b/>
                <w:bCs/>
                <w:color w:val="000000" w:themeColor="text1"/>
              </w:rPr>
              <w:t>“Not Responsive”</w:t>
            </w:r>
            <w:r w:rsidRPr="00E829CC">
              <w:rPr>
                <w:rFonts w:cstheme="minorHAnsi"/>
                <w:color w:val="000000" w:themeColor="text1"/>
              </w:rPr>
              <w:t xml:space="preserve"> will be assigned to a project that</w:t>
            </w:r>
            <w:r w:rsidRPr="00E829CC">
              <w:rPr>
                <w:rFonts w:cstheme="minorHAnsi"/>
                <w:color w:val="000000" w:themeColor="text1"/>
              </w:rPr>
              <w:t xml:space="preserve"> d</w:t>
            </w:r>
            <w:r w:rsidRPr="00E829CC">
              <w:rPr>
                <w:rFonts w:cstheme="minorHAnsi"/>
                <w:color w:val="000000" w:themeColor="text1"/>
              </w:rPr>
              <w:t>oes not substantively address each evaluation factor and/or does not provide sufficient information to determine that the project meets statutory eligible application criteria.</w:t>
            </w:r>
          </w:p>
        </w:tc>
      </w:tr>
      <w:tr w:rsidR="0071375E" w:rsidRPr="00E829CC" w14:paraId="1A3DE542" w14:textId="77777777" w:rsidTr="00F55A49">
        <w:tc>
          <w:tcPr>
            <w:tcW w:w="10795" w:type="dxa"/>
            <w:gridSpan w:val="6"/>
            <w:tcBorders>
              <w:left w:val="single" w:sz="24" w:space="0" w:color="auto"/>
              <w:bottom w:val="single" w:sz="24" w:space="0" w:color="auto"/>
              <w:right w:val="single" w:sz="24" w:space="0" w:color="auto"/>
            </w:tcBorders>
          </w:tcPr>
          <w:p w14:paraId="23CA12BF" w14:textId="39C40D67" w:rsidR="00C022C8" w:rsidRPr="00E829CC" w:rsidRDefault="00C022C8" w:rsidP="0071375E">
            <w:pPr>
              <w:pStyle w:val="NoSpacing"/>
              <w:rPr>
                <w:rFonts w:cstheme="minorHAnsi"/>
                <w:b/>
                <w:bCs/>
                <w:color w:val="023D67" w:themeColor="text2"/>
                <w:highlight w:val="yellow"/>
              </w:rPr>
            </w:pPr>
            <w:r w:rsidRPr="00E829CC">
              <w:rPr>
                <w:rFonts w:cstheme="minorHAnsi"/>
                <w:b/>
                <w:bCs/>
                <w:color w:val="023D67" w:themeColor="text2"/>
              </w:rPr>
              <w:t xml:space="preserve">Evaluation of Administration Priorities and Department Strategic Plan Goals:  </w:t>
            </w:r>
            <w:r w:rsidRPr="00E829CC">
              <w:rPr>
                <w:rFonts w:cstheme="minorHAnsi"/>
              </w:rPr>
              <w:t>the Technical Review Team</w:t>
            </w:r>
            <w:r w:rsidR="00E829CC" w:rsidRPr="00E829CC">
              <w:rPr>
                <w:rFonts w:cstheme="minorHAnsi"/>
              </w:rPr>
              <w:t xml:space="preserve"> will</w:t>
            </w:r>
            <w:r w:rsidRPr="00E829CC">
              <w:rPr>
                <w:rFonts w:cstheme="minorHAnsi"/>
              </w:rPr>
              <w:t xml:space="preserve"> determine whether the applications demonstrate the planned activities included in their application support the Administration Priorities and Departmental Strategies Goals</w:t>
            </w:r>
            <w:r w:rsidR="00F55A49" w:rsidRPr="00E829CC">
              <w:rPr>
                <w:rFonts w:cstheme="minorHAnsi"/>
              </w:rPr>
              <w:t xml:space="preserve"> (e.g. Safety, Climate Change and Sustainability, Equity and Environmental Justice, and Workforce Development Job Quality and Wealth Creation</w:t>
            </w:r>
            <w:r w:rsidR="007A0E47" w:rsidRPr="00E829CC">
              <w:rPr>
                <w:rFonts w:cstheme="minorHAnsi"/>
              </w:rPr>
              <w:t>)</w:t>
            </w:r>
            <w:r w:rsidR="00F55A49" w:rsidRPr="00E829CC">
              <w:rPr>
                <w:rFonts w:cstheme="minorHAnsi"/>
              </w:rPr>
              <w:t>.</w:t>
            </w:r>
          </w:p>
        </w:tc>
      </w:tr>
    </w:tbl>
    <w:p w14:paraId="428DAA72" w14:textId="77777777" w:rsidR="008F3ECA" w:rsidRPr="00E829CC" w:rsidRDefault="008F3ECA" w:rsidP="008F3ECA">
      <w:pPr>
        <w:autoSpaceDE w:val="0"/>
        <w:autoSpaceDN w:val="0"/>
        <w:adjustRightInd w:val="0"/>
        <w:spacing w:after="0" w:line="240" w:lineRule="auto"/>
        <w:rPr>
          <w:rFonts w:cstheme="minorHAnsi"/>
          <w:highlight w:val="yellow"/>
        </w:rPr>
      </w:pPr>
    </w:p>
    <w:p w14:paraId="30AFE07B" w14:textId="77777777" w:rsidR="00F41BA2" w:rsidRPr="00E829CC" w:rsidRDefault="00F41BA2" w:rsidP="00082389">
      <w:pPr>
        <w:pStyle w:val="Default"/>
        <w:rPr>
          <w:rFonts w:asciiTheme="minorHAnsi" w:hAnsiTheme="minorHAnsi" w:cstheme="minorHAnsi"/>
          <w:b/>
          <w:bCs/>
          <w:color w:val="023D67" w:themeColor="text2"/>
          <w:sz w:val="22"/>
          <w:szCs w:val="22"/>
        </w:rPr>
      </w:pPr>
    </w:p>
    <w:p w14:paraId="4CE14BA3" w14:textId="77777777" w:rsidR="00F41BA2" w:rsidRPr="00E829CC" w:rsidRDefault="00F41BA2" w:rsidP="00082389">
      <w:pPr>
        <w:pStyle w:val="Default"/>
        <w:rPr>
          <w:rFonts w:asciiTheme="minorHAnsi" w:hAnsiTheme="minorHAnsi" w:cstheme="minorHAnsi"/>
          <w:b/>
          <w:bCs/>
          <w:color w:val="023D67" w:themeColor="text2"/>
          <w:sz w:val="22"/>
          <w:szCs w:val="22"/>
        </w:rPr>
      </w:pPr>
    </w:p>
    <w:p w14:paraId="24DCCA7A" w14:textId="77777777" w:rsidR="00F41BA2" w:rsidRPr="00E829CC" w:rsidRDefault="00F41BA2" w:rsidP="00082389">
      <w:pPr>
        <w:pStyle w:val="Default"/>
        <w:rPr>
          <w:rFonts w:asciiTheme="minorHAnsi" w:hAnsiTheme="minorHAnsi" w:cstheme="minorHAnsi"/>
          <w:b/>
          <w:bCs/>
          <w:color w:val="023D67" w:themeColor="text2"/>
          <w:sz w:val="22"/>
          <w:szCs w:val="22"/>
        </w:rPr>
      </w:pPr>
    </w:p>
    <w:p w14:paraId="66CC7A3B" w14:textId="7A1F7BC9" w:rsidR="00082389" w:rsidRPr="00E829CC" w:rsidRDefault="008F3ECA" w:rsidP="00082389">
      <w:pPr>
        <w:pStyle w:val="Default"/>
        <w:rPr>
          <w:rFonts w:asciiTheme="minorHAnsi" w:hAnsiTheme="minorHAnsi" w:cstheme="minorHAnsi"/>
          <w:sz w:val="22"/>
          <w:szCs w:val="22"/>
        </w:rPr>
      </w:pPr>
      <w:r w:rsidRPr="00E829CC">
        <w:rPr>
          <w:rFonts w:asciiTheme="minorHAnsi" w:hAnsiTheme="minorHAnsi" w:cstheme="minorHAnsi"/>
          <w:b/>
          <w:bCs/>
          <w:color w:val="023D67" w:themeColor="text2"/>
          <w:sz w:val="22"/>
          <w:szCs w:val="22"/>
        </w:rPr>
        <w:t xml:space="preserve">Eligible Applicants </w:t>
      </w:r>
      <w:r w:rsidRPr="00E829CC">
        <w:rPr>
          <w:rFonts w:asciiTheme="minorHAnsi" w:hAnsiTheme="minorHAnsi" w:cstheme="minorHAnsi"/>
          <w:b/>
          <w:bCs/>
          <w:color w:val="000000" w:themeColor="text1"/>
          <w:sz w:val="22"/>
          <w:szCs w:val="22"/>
        </w:rPr>
        <w:t>–</w:t>
      </w:r>
      <w:r w:rsidRPr="00E829CC">
        <w:rPr>
          <w:rFonts w:asciiTheme="minorHAnsi" w:hAnsiTheme="minorHAnsi" w:cstheme="minorHAnsi"/>
          <w:b/>
          <w:bCs/>
          <w:sz w:val="22"/>
          <w:szCs w:val="22"/>
        </w:rPr>
        <w:t xml:space="preserve"> </w:t>
      </w:r>
      <w:r w:rsidR="00082389" w:rsidRPr="00E829CC">
        <w:rPr>
          <w:rFonts w:asciiTheme="minorHAnsi" w:hAnsiTheme="minorHAnsi" w:cstheme="minorHAnsi"/>
          <w:sz w:val="22"/>
          <w:szCs w:val="22"/>
        </w:rPr>
        <w:t>This NOFO is to solicit applications from eligible entities other than the State department of transportation (State DOT).</w:t>
      </w:r>
      <w:r w:rsidR="00082389" w:rsidRPr="00E829CC">
        <w:rPr>
          <w:rFonts w:asciiTheme="minorHAnsi" w:hAnsiTheme="minorHAnsi" w:cstheme="minorHAnsi"/>
          <w:sz w:val="22"/>
          <w:szCs w:val="22"/>
        </w:rPr>
        <w:t xml:space="preserve"> Eligible applicants include: </w:t>
      </w:r>
      <w:r w:rsidRPr="00E829CC">
        <w:rPr>
          <w:rFonts w:asciiTheme="minorHAnsi" w:hAnsiTheme="minorHAnsi" w:cstheme="minorHAnsi"/>
          <w:sz w:val="22"/>
          <w:szCs w:val="22"/>
        </w:rPr>
        <w:t xml:space="preserve">(1) </w:t>
      </w:r>
      <w:r w:rsidR="00A7481E" w:rsidRPr="00E829CC">
        <w:rPr>
          <w:rFonts w:asciiTheme="minorHAnsi" w:hAnsiTheme="minorHAnsi" w:cstheme="minorHAnsi"/>
          <w:sz w:val="22"/>
          <w:szCs w:val="22"/>
        </w:rPr>
        <w:t>a unit of local government</w:t>
      </w:r>
      <w:r w:rsidRPr="00E829CC">
        <w:rPr>
          <w:rFonts w:asciiTheme="minorHAnsi" w:hAnsiTheme="minorHAnsi" w:cstheme="minorHAnsi"/>
          <w:sz w:val="22"/>
          <w:szCs w:val="22"/>
        </w:rPr>
        <w:t xml:space="preserve">; (2) </w:t>
      </w:r>
      <w:r w:rsidR="00A7481E" w:rsidRPr="00E829CC">
        <w:rPr>
          <w:rFonts w:asciiTheme="minorHAnsi" w:hAnsiTheme="minorHAnsi" w:cstheme="minorHAnsi"/>
          <w:sz w:val="22"/>
          <w:szCs w:val="22"/>
        </w:rPr>
        <w:t>a political subdivision of a State;</w:t>
      </w:r>
      <w:r w:rsidRPr="00E829CC">
        <w:rPr>
          <w:rFonts w:asciiTheme="minorHAnsi" w:hAnsiTheme="minorHAnsi" w:cstheme="minorHAnsi"/>
          <w:sz w:val="22"/>
          <w:szCs w:val="22"/>
        </w:rPr>
        <w:t xml:space="preserve"> (3)</w:t>
      </w:r>
      <w:r w:rsidR="00A7481E" w:rsidRPr="00E829CC">
        <w:rPr>
          <w:rFonts w:asciiTheme="minorHAnsi" w:hAnsiTheme="minorHAnsi" w:cstheme="minorHAnsi"/>
          <w:sz w:val="22"/>
          <w:szCs w:val="22"/>
        </w:rPr>
        <w:t xml:space="preserve"> a territory of the United States; (4) an entity described in 23 U.S.C. 207(m)(1)(E); (5) a recipient of funds under 23 U.S.C. 203; (6) a MPO as defined in section 23 U.S.C. 134(b)(2); (7) a special purpose district of public authority with a transportation function.</w:t>
      </w:r>
      <w:r w:rsidR="00082389" w:rsidRPr="00E829CC">
        <w:rPr>
          <w:rFonts w:asciiTheme="minorHAnsi" w:hAnsiTheme="minorHAnsi" w:cstheme="minorHAnsi"/>
          <w:sz w:val="22"/>
          <w:szCs w:val="22"/>
        </w:rPr>
        <w:t xml:space="preserve"> </w:t>
      </w:r>
    </w:p>
    <w:p w14:paraId="02EA9AC3" w14:textId="77777777" w:rsidR="00B7467C" w:rsidRPr="00E829CC" w:rsidRDefault="00B7467C" w:rsidP="00F75F58">
      <w:pPr>
        <w:pStyle w:val="NoSpacing"/>
        <w:rPr>
          <w:rFonts w:cstheme="minorHAnsi"/>
          <w:highlight w:val="yellow"/>
        </w:rPr>
      </w:pPr>
    </w:p>
    <w:p w14:paraId="3A407A0F" w14:textId="3142F55F" w:rsidR="002946BD" w:rsidRPr="00E829CC" w:rsidRDefault="00710EE9" w:rsidP="002946BD">
      <w:pPr>
        <w:pStyle w:val="Default"/>
        <w:rPr>
          <w:rFonts w:asciiTheme="minorHAnsi" w:hAnsiTheme="minorHAnsi" w:cstheme="minorHAnsi"/>
          <w:sz w:val="22"/>
          <w:szCs w:val="22"/>
        </w:rPr>
      </w:pPr>
      <w:r w:rsidRPr="00E829CC">
        <w:rPr>
          <w:rFonts w:asciiTheme="minorHAnsi" w:hAnsiTheme="minorHAnsi" w:cstheme="minorHAnsi"/>
          <w:b/>
          <w:bCs/>
          <w:color w:val="023D67" w:themeColor="text2"/>
          <w:sz w:val="22"/>
          <w:szCs w:val="22"/>
        </w:rPr>
        <w:t xml:space="preserve">Eligible Projects </w:t>
      </w:r>
      <w:r w:rsidRPr="00E829CC">
        <w:rPr>
          <w:rFonts w:asciiTheme="minorHAnsi" w:hAnsiTheme="minorHAnsi" w:cstheme="minorHAnsi"/>
          <w:b/>
          <w:bCs/>
          <w:color w:val="000000" w:themeColor="text1"/>
          <w:sz w:val="22"/>
          <w:szCs w:val="22"/>
        </w:rPr>
        <w:t xml:space="preserve">– </w:t>
      </w:r>
      <w:r w:rsidR="002946BD" w:rsidRPr="00E829CC">
        <w:rPr>
          <w:rFonts w:asciiTheme="minorHAnsi" w:hAnsiTheme="minorHAnsi" w:cstheme="minorHAnsi"/>
          <w:sz w:val="22"/>
          <w:szCs w:val="22"/>
        </w:rPr>
        <w:t>provides funds for eligible activities including the use of eligible materials on construction projects funded under 23 U.S.C., including projects on:</w:t>
      </w:r>
    </w:p>
    <w:p w14:paraId="56976358" w14:textId="635FF416" w:rsidR="002946BD" w:rsidRPr="00E829CC" w:rsidRDefault="002946BD" w:rsidP="002946BD">
      <w:pPr>
        <w:pStyle w:val="Default"/>
        <w:rPr>
          <w:rFonts w:asciiTheme="minorHAnsi" w:hAnsiTheme="minorHAnsi" w:cstheme="minorHAnsi"/>
          <w:sz w:val="22"/>
          <w:szCs w:val="22"/>
        </w:rPr>
      </w:pPr>
      <w:r w:rsidRPr="00E829CC">
        <w:rPr>
          <w:rFonts w:asciiTheme="minorHAnsi" w:hAnsiTheme="minorHAnsi" w:cstheme="minorHAnsi"/>
          <w:sz w:val="22"/>
          <w:szCs w:val="22"/>
        </w:rPr>
        <w:t>1.</w:t>
      </w:r>
      <w:r w:rsidRPr="00E829CC">
        <w:rPr>
          <w:rFonts w:asciiTheme="minorHAnsi" w:hAnsiTheme="minorHAnsi" w:cstheme="minorHAnsi"/>
          <w:sz w:val="22"/>
          <w:szCs w:val="22"/>
        </w:rPr>
        <w:tab/>
      </w:r>
      <w:r w:rsidR="00E829CC" w:rsidRPr="00E829CC">
        <w:rPr>
          <w:rFonts w:asciiTheme="minorHAnsi" w:hAnsiTheme="minorHAnsi" w:cstheme="minorHAnsi"/>
          <w:sz w:val="22"/>
          <w:szCs w:val="22"/>
        </w:rPr>
        <w:t>Federal aid</w:t>
      </w:r>
      <w:r w:rsidRPr="00E829CC">
        <w:rPr>
          <w:rFonts w:asciiTheme="minorHAnsi" w:hAnsiTheme="minorHAnsi" w:cstheme="minorHAnsi"/>
          <w:sz w:val="22"/>
          <w:szCs w:val="22"/>
        </w:rPr>
        <w:t xml:space="preserve"> </w:t>
      </w:r>
      <w:proofErr w:type="gramStart"/>
      <w:r w:rsidRPr="00E829CC">
        <w:rPr>
          <w:rFonts w:asciiTheme="minorHAnsi" w:hAnsiTheme="minorHAnsi" w:cstheme="minorHAnsi"/>
          <w:sz w:val="22"/>
          <w:szCs w:val="22"/>
        </w:rPr>
        <w:t>highways;</w:t>
      </w:r>
      <w:proofErr w:type="gramEnd"/>
    </w:p>
    <w:p w14:paraId="08CB1544" w14:textId="70CC05E4" w:rsidR="002946BD" w:rsidRPr="00E829CC" w:rsidRDefault="002946BD" w:rsidP="002946BD">
      <w:pPr>
        <w:pStyle w:val="Default"/>
        <w:rPr>
          <w:rFonts w:asciiTheme="minorHAnsi" w:hAnsiTheme="minorHAnsi" w:cstheme="minorHAnsi"/>
          <w:sz w:val="22"/>
          <w:szCs w:val="22"/>
        </w:rPr>
      </w:pPr>
      <w:r w:rsidRPr="00E829CC">
        <w:rPr>
          <w:rFonts w:asciiTheme="minorHAnsi" w:hAnsiTheme="minorHAnsi" w:cstheme="minorHAnsi"/>
          <w:sz w:val="22"/>
          <w:szCs w:val="22"/>
        </w:rPr>
        <w:t>2.</w:t>
      </w:r>
      <w:r w:rsidRPr="00E829CC">
        <w:rPr>
          <w:rFonts w:asciiTheme="minorHAnsi" w:hAnsiTheme="minorHAnsi" w:cstheme="minorHAnsi"/>
          <w:sz w:val="22"/>
          <w:szCs w:val="22"/>
        </w:rPr>
        <w:tab/>
        <w:t xml:space="preserve">Tribal transportation </w:t>
      </w:r>
      <w:proofErr w:type="gramStart"/>
      <w:r w:rsidRPr="00E829CC">
        <w:rPr>
          <w:rFonts w:asciiTheme="minorHAnsi" w:hAnsiTheme="minorHAnsi" w:cstheme="minorHAnsi"/>
          <w:sz w:val="22"/>
          <w:szCs w:val="22"/>
        </w:rPr>
        <w:t>facilities</w:t>
      </w:r>
      <w:r w:rsidR="00E829CC" w:rsidRPr="00E829CC">
        <w:rPr>
          <w:rFonts w:asciiTheme="minorHAnsi" w:hAnsiTheme="minorHAnsi" w:cstheme="minorHAnsi"/>
          <w:sz w:val="22"/>
          <w:szCs w:val="22"/>
        </w:rPr>
        <w:t>;</w:t>
      </w:r>
      <w:proofErr w:type="gramEnd"/>
    </w:p>
    <w:p w14:paraId="71FB9390" w14:textId="77777777" w:rsidR="002946BD" w:rsidRPr="00E829CC" w:rsidRDefault="002946BD" w:rsidP="002946BD">
      <w:pPr>
        <w:pStyle w:val="Default"/>
        <w:rPr>
          <w:rFonts w:asciiTheme="minorHAnsi" w:hAnsiTheme="minorHAnsi" w:cstheme="minorHAnsi"/>
          <w:sz w:val="22"/>
          <w:szCs w:val="22"/>
        </w:rPr>
      </w:pPr>
      <w:r w:rsidRPr="00E829CC">
        <w:rPr>
          <w:rFonts w:asciiTheme="minorHAnsi" w:hAnsiTheme="minorHAnsi" w:cstheme="minorHAnsi"/>
          <w:sz w:val="22"/>
          <w:szCs w:val="22"/>
        </w:rPr>
        <w:t>3.</w:t>
      </w:r>
      <w:r w:rsidRPr="00E829CC">
        <w:rPr>
          <w:rFonts w:asciiTheme="minorHAnsi" w:hAnsiTheme="minorHAnsi" w:cstheme="minorHAnsi"/>
          <w:sz w:val="22"/>
          <w:szCs w:val="22"/>
        </w:rPr>
        <w:tab/>
        <w:t>Federal lands transportation facilities; and</w:t>
      </w:r>
    </w:p>
    <w:p w14:paraId="7FCDC396" w14:textId="5D716CCC" w:rsidR="00082389" w:rsidRPr="00E829CC" w:rsidRDefault="002946BD" w:rsidP="002946BD">
      <w:pPr>
        <w:pStyle w:val="Default"/>
        <w:rPr>
          <w:rFonts w:asciiTheme="minorHAnsi" w:hAnsiTheme="minorHAnsi" w:cstheme="minorHAnsi"/>
          <w:sz w:val="22"/>
          <w:szCs w:val="22"/>
        </w:rPr>
      </w:pPr>
      <w:r w:rsidRPr="00E829CC">
        <w:rPr>
          <w:rFonts w:asciiTheme="minorHAnsi" w:hAnsiTheme="minorHAnsi" w:cstheme="minorHAnsi"/>
          <w:sz w:val="22"/>
          <w:szCs w:val="22"/>
        </w:rPr>
        <w:t>4.</w:t>
      </w:r>
      <w:r w:rsidRPr="00E829CC">
        <w:rPr>
          <w:rFonts w:asciiTheme="minorHAnsi" w:hAnsiTheme="minorHAnsi" w:cstheme="minorHAnsi"/>
          <w:sz w:val="22"/>
          <w:szCs w:val="22"/>
        </w:rPr>
        <w:tab/>
        <w:t>Federal lands access transportation facilities.</w:t>
      </w:r>
    </w:p>
    <w:p w14:paraId="18E1BE72" w14:textId="77777777" w:rsidR="002946BD" w:rsidRPr="00E829CC" w:rsidRDefault="002946BD" w:rsidP="002946BD">
      <w:pPr>
        <w:pStyle w:val="Default"/>
        <w:rPr>
          <w:rFonts w:asciiTheme="minorHAnsi" w:hAnsiTheme="minorHAnsi" w:cstheme="minorHAnsi"/>
          <w:sz w:val="22"/>
          <w:szCs w:val="22"/>
        </w:rPr>
      </w:pPr>
    </w:p>
    <w:p w14:paraId="4A23A408" w14:textId="00FA2ECA" w:rsidR="00DE0EA7" w:rsidRPr="00E829CC" w:rsidRDefault="002946BD" w:rsidP="002946BD">
      <w:pPr>
        <w:pStyle w:val="Default"/>
        <w:rPr>
          <w:rFonts w:asciiTheme="minorHAnsi" w:hAnsiTheme="minorHAnsi" w:cstheme="minorHAnsi"/>
          <w:sz w:val="22"/>
          <w:szCs w:val="22"/>
        </w:rPr>
      </w:pPr>
      <w:r w:rsidRPr="00E829CC">
        <w:rPr>
          <w:rFonts w:asciiTheme="minorHAnsi" w:hAnsiTheme="minorHAnsi" w:cstheme="minorHAnsi"/>
          <w:sz w:val="22"/>
          <w:szCs w:val="22"/>
        </w:rPr>
        <w:t>Funds are also available to use for activities required to develop a process to demonstrate materials meet the standard of ‘substantially lower embodied carbon’ and are appropriate for use.</w:t>
      </w:r>
    </w:p>
    <w:p w14:paraId="18188D87" w14:textId="77777777" w:rsidR="002946BD" w:rsidRPr="00E829CC" w:rsidRDefault="002946BD" w:rsidP="002946BD">
      <w:pPr>
        <w:pStyle w:val="Default"/>
        <w:rPr>
          <w:rFonts w:asciiTheme="minorHAnsi" w:hAnsiTheme="minorHAnsi" w:cstheme="minorHAnsi"/>
          <w:sz w:val="22"/>
          <w:szCs w:val="22"/>
          <w:highlight w:val="yellow"/>
        </w:rPr>
      </w:pPr>
    </w:p>
    <w:p w14:paraId="1B8E6628" w14:textId="7995AE37" w:rsidR="00DE0EA7" w:rsidRPr="00E829CC" w:rsidRDefault="00DE0EA7" w:rsidP="00DE0EA7">
      <w:pPr>
        <w:pStyle w:val="Default"/>
        <w:rPr>
          <w:rFonts w:asciiTheme="minorHAnsi" w:hAnsiTheme="minorHAnsi" w:cstheme="minorHAnsi"/>
          <w:b/>
          <w:bCs/>
          <w:color w:val="000000" w:themeColor="text1"/>
          <w:sz w:val="22"/>
          <w:szCs w:val="22"/>
        </w:rPr>
      </w:pPr>
      <w:r w:rsidRPr="00E829CC">
        <w:rPr>
          <w:rFonts w:asciiTheme="minorHAnsi" w:hAnsiTheme="minorHAnsi" w:cstheme="minorHAnsi"/>
          <w:b/>
          <w:bCs/>
          <w:color w:val="023D67" w:themeColor="text2"/>
          <w:sz w:val="22"/>
          <w:szCs w:val="22"/>
        </w:rPr>
        <w:t xml:space="preserve">Eligible Project Costs </w:t>
      </w:r>
      <w:r w:rsidRPr="00E829CC">
        <w:rPr>
          <w:rFonts w:asciiTheme="minorHAnsi" w:hAnsiTheme="minorHAnsi" w:cstheme="minorHAnsi"/>
          <w:b/>
          <w:bCs/>
          <w:color w:val="000000" w:themeColor="text1"/>
          <w:sz w:val="22"/>
          <w:szCs w:val="22"/>
        </w:rPr>
        <w:t xml:space="preserve">– </w:t>
      </w:r>
      <w:r w:rsidR="00F41BA2" w:rsidRPr="00E829CC">
        <w:rPr>
          <w:rFonts w:asciiTheme="minorHAnsi" w:hAnsiTheme="minorHAnsi" w:cstheme="minorHAnsi"/>
          <w:sz w:val="22"/>
          <w:szCs w:val="22"/>
        </w:rPr>
        <w:t>LCTM funds may only be applied to eligible activities associated with the use of the low carbon transportation material. The program is not intended to fund entire construction projects</w:t>
      </w:r>
      <w:r w:rsidR="00434037" w:rsidRPr="00E829CC">
        <w:rPr>
          <w:rFonts w:asciiTheme="minorHAnsi" w:hAnsiTheme="minorHAnsi" w:cstheme="minorHAnsi"/>
          <w:sz w:val="22"/>
          <w:szCs w:val="22"/>
        </w:rPr>
        <w:t>.</w:t>
      </w:r>
    </w:p>
    <w:p w14:paraId="6E08A6BA" w14:textId="77777777" w:rsidR="00791930" w:rsidRPr="00E829CC" w:rsidRDefault="00791930" w:rsidP="00791930">
      <w:pPr>
        <w:autoSpaceDE w:val="0"/>
        <w:autoSpaceDN w:val="0"/>
        <w:adjustRightInd w:val="0"/>
        <w:spacing w:after="0" w:line="240" w:lineRule="auto"/>
        <w:rPr>
          <w:rFonts w:cstheme="minorHAnsi"/>
        </w:rPr>
      </w:pPr>
    </w:p>
    <w:p w14:paraId="0171BAE0" w14:textId="0CBE5FB0" w:rsidR="008F3ECA" w:rsidRPr="00E829CC" w:rsidRDefault="00791930" w:rsidP="007A0E47">
      <w:pPr>
        <w:pStyle w:val="Default"/>
        <w:rPr>
          <w:rFonts w:asciiTheme="minorHAnsi" w:hAnsiTheme="minorHAnsi" w:cstheme="minorHAnsi"/>
          <w:sz w:val="22"/>
          <w:szCs w:val="22"/>
        </w:rPr>
      </w:pPr>
      <w:bookmarkStart w:id="0" w:name="_Hlk99061205"/>
      <w:r w:rsidRPr="00E829CC">
        <w:rPr>
          <w:rFonts w:asciiTheme="minorHAnsi" w:hAnsiTheme="minorHAnsi" w:cstheme="minorHAnsi"/>
          <w:b/>
          <w:bCs/>
          <w:color w:val="023D67" w:themeColor="text2"/>
          <w:sz w:val="22"/>
          <w:szCs w:val="22"/>
        </w:rPr>
        <w:t xml:space="preserve">Application &amp; Narrative Requirements </w:t>
      </w:r>
      <w:r w:rsidRPr="00E829CC">
        <w:rPr>
          <w:rFonts w:asciiTheme="minorHAnsi" w:hAnsiTheme="minorHAnsi" w:cstheme="minorHAnsi"/>
          <w:b/>
          <w:bCs/>
          <w:color w:val="000000" w:themeColor="text1"/>
          <w:sz w:val="22"/>
          <w:szCs w:val="22"/>
        </w:rPr>
        <w:t xml:space="preserve">– </w:t>
      </w:r>
      <w:r w:rsidRPr="00E829CC">
        <w:rPr>
          <w:rFonts w:asciiTheme="minorHAnsi" w:hAnsiTheme="minorHAnsi" w:cstheme="minorHAnsi"/>
          <w:sz w:val="22"/>
          <w:szCs w:val="22"/>
        </w:rPr>
        <w:t xml:space="preserve">Required components </w:t>
      </w:r>
      <w:r w:rsidR="00A16366" w:rsidRPr="00E829CC">
        <w:rPr>
          <w:rFonts w:asciiTheme="minorHAnsi" w:hAnsiTheme="minorHAnsi" w:cstheme="minorHAnsi"/>
          <w:sz w:val="22"/>
          <w:szCs w:val="22"/>
        </w:rPr>
        <w:t>include</w:t>
      </w:r>
      <w:r w:rsidRPr="00E829CC">
        <w:rPr>
          <w:rFonts w:asciiTheme="minorHAnsi" w:hAnsiTheme="minorHAnsi" w:cstheme="minorHAnsi"/>
          <w:color w:val="023D67" w:themeColor="text2"/>
          <w:sz w:val="22"/>
          <w:szCs w:val="22"/>
        </w:rPr>
        <w:t xml:space="preserve"> </w:t>
      </w:r>
      <w:r w:rsidRPr="00E829CC">
        <w:rPr>
          <w:rFonts w:asciiTheme="minorHAnsi" w:hAnsiTheme="minorHAnsi" w:cstheme="minorHAnsi"/>
          <w:b/>
          <w:bCs/>
          <w:color w:val="023D67" w:themeColor="text2"/>
          <w:sz w:val="22"/>
          <w:szCs w:val="22"/>
        </w:rPr>
        <w:t>SF-424, SF-424C,</w:t>
      </w:r>
      <w:r w:rsidR="006227D7" w:rsidRPr="00E829CC">
        <w:rPr>
          <w:rFonts w:asciiTheme="minorHAnsi" w:hAnsiTheme="minorHAnsi" w:cstheme="minorHAnsi"/>
          <w:b/>
          <w:bCs/>
          <w:color w:val="023D67" w:themeColor="text2"/>
          <w:sz w:val="22"/>
          <w:szCs w:val="22"/>
        </w:rPr>
        <w:t xml:space="preserve"> SF-42D, SF-LLL, Technical Application (</w:t>
      </w:r>
      <w:r w:rsidR="00745183" w:rsidRPr="00E829CC">
        <w:rPr>
          <w:rFonts w:asciiTheme="minorHAnsi" w:hAnsiTheme="minorHAnsi" w:cstheme="minorHAnsi"/>
          <w:b/>
          <w:bCs/>
          <w:color w:val="023D67" w:themeColor="text2"/>
          <w:sz w:val="22"/>
          <w:szCs w:val="22"/>
        </w:rPr>
        <w:t xml:space="preserve">limit 15 pages), Budget Application; and Additional Supporting Document (limit 15 pages). </w:t>
      </w:r>
      <w:r w:rsidR="00745183" w:rsidRPr="00E829CC">
        <w:rPr>
          <w:rFonts w:asciiTheme="minorHAnsi" w:hAnsiTheme="minorHAnsi" w:cstheme="minorHAnsi"/>
          <w:color w:val="auto"/>
          <w:sz w:val="22"/>
          <w:szCs w:val="22"/>
        </w:rPr>
        <w:t>For construction projects, required forms include</w:t>
      </w:r>
      <w:r w:rsidR="00F55A49" w:rsidRPr="00E829CC">
        <w:rPr>
          <w:rFonts w:asciiTheme="minorHAnsi" w:hAnsiTheme="minorHAnsi" w:cstheme="minorHAnsi"/>
          <w:sz w:val="22"/>
          <w:szCs w:val="22"/>
        </w:rPr>
        <w:t xml:space="preserve"> </w:t>
      </w:r>
      <w:r w:rsidR="00745183" w:rsidRPr="00E829CC">
        <w:rPr>
          <w:rFonts w:asciiTheme="minorHAnsi" w:hAnsiTheme="minorHAnsi" w:cstheme="minorHAnsi"/>
          <w:b/>
          <w:bCs/>
          <w:color w:val="023D67" w:themeColor="text2"/>
          <w:sz w:val="22"/>
          <w:szCs w:val="22"/>
        </w:rPr>
        <w:t>Standard Form</w:t>
      </w:r>
      <w:r w:rsidR="007A0E47" w:rsidRPr="00E829CC">
        <w:rPr>
          <w:rFonts w:asciiTheme="minorHAnsi" w:hAnsiTheme="minorHAnsi" w:cstheme="minorHAnsi"/>
          <w:b/>
          <w:bCs/>
          <w:color w:val="023D67" w:themeColor="text2"/>
          <w:sz w:val="22"/>
          <w:szCs w:val="22"/>
        </w:rPr>
        <w:t>s</w:t>
      </w:r>
      <w:r w:rsidR="00745183" w:rsidRPr="00E829CC">
        <w:rPr>
          <w:rFonts w:asciiTheme="minorHAnsi" w:hAnsiTheme="minorHAnsi" w:cstheme="minorHAnsi"/>
          <w:b/>
          <w:bCs/>
          <w:color w:val="023D67" w:themeColor="text2"/>
          <w:sz w:val="22"/>
          <w:szCs w:val="22"/>
        </w:rPr>
        <w:t xml:space="preserve"> 424C </w:t>
      </w:r>
      <w:r w:rsidR="00745183" w:rsidRPr="00E829CC">
        <w:rPr>
          <w:rFonts w:asciiTheme="minorHAnsi" w:hAnsiTheme="minorHAnsi" w:cstheme="minorHAnsi"/>
          <w:color w:val="auto"/>
          <w:sz w:val="22"/>
          <w:szCs w:val="22"/>
        </w:rPr>
        <w:t>and</w:t>
      </w:r>
      <w:r w:rsidR="00745183" w:rsidRPr="00E829CC">
        <w:rPr>
          <w:rFonts w:asciiTheme="minorHAnsi" w:hAnsiTheme="minorHAnsi" w:cstheme="minorHAnsi"/>
          <w:b/>
          <w:bCs/>
          <w:color w:val="auto"/>
          <w:sz w:val="22"/>
          <w:szCs w:val="22"/>
        </w:rPr>
        <w:t xml:space="preserve"> </w:t>
      </w:r>
      <w:r w:rsidR="00745183" w:rsidRPr="00E829CC">
        <w:rPr>
          <w:rFonts w:asciiTheme="minorHAnsi" w:hAnsiTheme="minorHAnsi" w:cstheme="minorHAnsi"/>
          <w:b/>
          <w:bCs/>
          <w:color w:val="023D67" w:themeColor="text2"/>
          <w:sz w:val="22"/>
          <w:szCs w:val="22"/>
        </w:rPr>
        <w:t xml:space="preserve">424D. </w:t>
      </w:r>
      <w:r w:rsidR="00745183" w:rsidRPr="00E829CC">
        <w:rPr>
          <w:rFonts w:asciiTheme="minorHAnsi" w:hAnsiTheme="minorHAnsi" w:cstheme="minorHAnsi"/>
          <w:color w:val="auto"/>
          <w:sz w:val="22"/>
          <w:szCs w:val="22"/>
        </w:rPr>
        <w:t xml:space="preserve">FHWA </w:t>
      </w:r>
      <w:r w:rsidR="00745183" w:rsidRPr="00E829CC">
        <w:rPr>
          <w:rFonts w:asciiTheme="minorHAnsi" w:hAnsiTheme="minorHAnsi" w:cstheme="minorHAnsi"/>
          <w:sz w:val="22"/>
          <w:szCs w:val="22"/>
        </w:rPr>
        <w:t>Technical Application</w:t>
      </w:r>
      <w:r w:rsidR="00F55A49" w:rsidRPr="00E829CC">
        <w:rPr>
          <w:rFonts w:asciiTheme="minorHAnsi" w:hAnsiTheme="minorHAnsi" w:cstheme="minorHAnsi"/>
          <w:sz w:val="22"/>
          <w:szCs w:val="22"/>
        </w:rPr>
        <w:t xml:space="preserve"> recommendations</w:t>
      </w:r>
      <w:r w:rsidR="00745183" w:rsidRPr="00E829CC">
        <w:rPr>
          <w:rFonts w:asciiTheme="minorHAnsi" w:hAnsiTheme="minorHAnsi" w:cstheme="minorHAnsi"/>
          <w:sz w:val="22"/>
          <w:szCs w:val="22"/>
        </w:rPr>
        <w:t xml:space="preserve">: </w:t>
      </w:r>
      <w:r w:rsidR="00745183" w:rsidRPr="00E829CC">
        <w:rPr>
          <w:rFonts w:asciiTheme="minorHAnsi" w:hAnsiTheme="minorHAnsi" w:cstheme="minorHAnsi"/>
          <w:color w:val="auto"/>
          <w:sz w:val="22"/>
          <w:szCs w:val="22"/>
        </w:rPr>
        <w:t>si</w:t>
      </w:r>
      <w:r w:rsidR="00745183" w:rsidRPr="00E829CC">
        <w:rPr>
          <w:rFonts w:asciiTheme="minorHAnsi" w:hAnsiTheme="minorHAnsi" w:cstheme="minorHAnsi"/>
          <w:sz w:val="22"/>
          <w:szCs w:val="22"/>
        </w:rPr>
        <w:t>ngle-spaced document, using a standard 12-point font such as Times New Roman, with 1-inch margins</w:t>
      </w:r>
      <w:r w:rsidR="00745183" w:rsidRPr="00E829CC">
        <w:rPr>
          <w:rFonts w:asciiTheme="minorHAnsi" w:hAnsiTheme="minorHAnsi" w:cstheme="minorHAnsi"/>
          <w:sz w:val="22"/>
          <w:szCs w:val="22"/>
        </w:rPr>
        <w:t xml:space="preserve">. </w:t>
      </w:r>
      <w:r w:rsidR="00745183" w:rsidRPr="00E829CC">
        <w:rPr>
          <w:rFonts w:asciiTheme="minorHAnsi" w:hAnsiTheme="minorHAnsi" w:cstheme="minorHAnsi"/>
          <w:sz w:val="22"/>
          <w:szCs w:val="22"/>
        </w:rPr>
        <w:t>Text in tables may be smaller than 12-point font but must be legible.</w:t>
      </w:r>
      <w:r w:rsidR="00745183" w:rsidRPr="00E829CC">
        <w:rPr>
          <w:rFonts w:asciiTheme="minorHAnsi" w:hAnsiTheme="minorHAnsi" w:cstheme="minorHAnsi"/>
          <w:sz w:val="22"/>
          <w:szCs w:val="22"/>
        </w:rPr>
        <w:t xml:space="preserve"> </w:t>
      </w:r>
      <w:r w:rsidR="00745183" w:rsidRPr="00E829CC">
        <w:rPr>
          <w:rFonts w:asciiTheme="minorHAnsi" w:hAnsiTheme="minorHAnsi" w:cstheme="minorHAnsi"/>
          <w:sz w:val="22"/>
          <w:szCs w:val="22"/>
        </w:rPr>
        <w:t>Appendices may include documents supporting assertions or conclusions made in the 15-page technical application and do not count towards the 15-page limit. Front matter, back matter, and references do not count towards the 15-page limit.</w:t>
      </w:r>
      <w:r w:rsidRPr="00E829CC">
        <w:rPr>
          <w:rFonts w:asciiTheme="minorHAnsi" w:hAnsiTheme="minorHAnsi" w:cstheme="minorHAnsi"/>
          <w:sz w:val="22"/>
          <w:szCs w:val="22"/>
        </w:rPr>
        <w:t xml:space="preserve"> Cross-referencing to avoid information redundancies.</w:t>
      </w:r>
      <w:bookmarkEnd w:id="0"/>
    </w:p>
    <w:sectPr w:rsidR="008F3ECA" w:rsidRPr="00E829CC" w:rsidSect="001D68C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207A" w14:textId="77777777" w:rsidR="00933DA8" w:rsidRDefault="00933DA8" w:rsidP="00933DA8">
      <w:pPr>
        <w:spacing w:after="0" w:line="240" w:lineRule="auto"/>
      </w:pPr>
      <w:r>
        <w:separator/>
      </w:r>
    </w:p>
  </w:endnote>
  <w:endnote w:type="continuationSeparator" w:id="0">
    <w:p w14:paraId="77D4AEBF" w14:textId="77777777" w:rsidR="00933DA8" w:rsidRDefault="00933DA8" w:rsidP="0093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27E0" w14:textId="77777777" w:rsidR="00933DA8" w:rsidRDefault="00933DA8" w:rsidP="00933DA8">
      <w:pPr>
        <w:spacing w:after="0" w:line="240" w:lineRule="auto"/>
      </w:pPr>
      <w:r>
        <w:separator/>
      </w:r>
    </w:p>
  </w:footnote>
  <w:footnote w:type="continuationSeparator" w:id="0">
    <w:p w14:paraId="1C778CB7" w14:textId="77777777" w:rsidR="00933DA8" w:rsidRDefault="00933DA8" w:rsidP="0093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F260" w14:textId="77777777" w:rsidR="00933DA8" w:rsidRPr="00933DA8" w:rsidRDefault="00933DA8" w:rsidP="00933DA8">
    <w:pPr>
      <w:tabs>
        <w:tab w:val="center" w:pos="4550"/>
        <w:tab w:val="left" w:pos="5818"/>
      </w:tabs>
      <w:ind w:right="260"/>
      <w:jc w:val="right"/>
      <w:rPr>
        <w:color w:val="011E33" w:themeColor="text2" w:themeShade="80"/>
        <w:sz w:val="24"/>
        <w:szCs w:val="24"/>
      </w:rPr>
    </w:pPr>
    <w:r>
      <w:rPr>
        <w:noProof/>
      </w:rPr>
      <w:drawing>
        <wp:anchor distT="0" distB="0" distL="114300" distR="114300" simplePos="0" relativeHeight="251659264" behindDoc="1" locked="0" layoutInCell="1" allowOverlap="1" wp14:anchorId="38582B23" wp14:editId="297BA486">
          <wp:simplePos x="0" y="0"/>
          <wp:positionH relativeFrom="column">
            <wp:posOffset>66675</wp:posOffset>
          </wp:positionH>
          <wp:positionV relativeFrom="paragraph">
            <wp:posOffset>-3175</wp:posOffset>
          </wp:positionV>
          <wp:extent cx="1771650" cy="445135"/>
          <wp:effectExtent l="0" t="0" r="0" b="0"/>
          <wp:wrapTight wrapText="bothSides">
            <wp:wrapPolygon edited="0">
              <wp:start x="1394" y="0"/>
              <wp:lineTo x="0" y="3698"/>
              <wp:lineTo x="0" y="14790"/>
              <wp:lineTo x="3484" y="16639"/>
              <wp:lineTo x="3484" y="20337"/>
              <wp:lineTo x="10219" y="20337"/>
              <wp:lineTo x="10452" y="20337"/>
              <wp:lineTo x="11613" y="14790"/>
              <wp:lineTo x="21368" y="13866"/>
              <wp:lineTo x="21368" y="7395"/>
              <wp:lineTo x="7897" y="0"/>
              <wp:lineTo x="1394"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650" cy="445135"/>
                  </a:xfrm>
                  <a:prstGeom prst="rect">
                    <a:avLst/>
                  </a:prstGeom>
                </pic:spPr>
              </pic:pic>
            </a:graphicData>
          </a:graphic>
          <wp14:sizeRelH relativeFrom="margin">
            <wp14:pctWidth>0</wp14:pctWidth>
          </wp14:sizeRelH>
          <wp14:sizeRelV relativeFrom="margin">
            <wp14:pctHeight>0</wp14:pctHeight>
          </wp14:sizeRelV>
        </wp:anchor>
      </w:drawing>
    </w:r>
    <w:r w:rsidRPr="00933DA8">
      <w:rPr>
        <w:color w:val="1098FA" w:themeColor="text2" w:themeTint="99"/>
        <w:spacing w:val="60"/>
        <w:sz w:val="24"/>
        <w:szCs w:val="24"/>
      </w:rPr>
      <w:t xml:space="preserve"> </w:t>
    </w:r>
    <w:r>
      <w:rPr>
        <w:color w:val="1098FA" w:themeColor="text2" w:themeTint="99"/>
        <w:spacing w:val="60"/>
        <w:sz w:val="24"/>
        <w:szCs w:val="24"/>
      </w:rPr>
      <w:t>Page</w:t>
    </w:r>
    <w:r>
      <w:rPr>
        <w:color w:val="1098FA" w:themeColor="text2" w:themeTint="99"/>
        <w:sz w:val="24"/>
        <w:szCs w:val="24"/>
      </w:rPr>
      <w:t xml:space="preserve"> </w:t>
    </w:r>
    <w:r>
      <w:rPr>
        <w:color w:val="012D4C" w:themeColor="text2" w:themeShade="BF"/>
        <w:sz w:val="24"/>
        <w:szCs w:val="24"/>
      </w:rPr>
      <w:fldChar w:fldCharType="begin"/>
    </w:r>
    <w:r>
      <w:rPr>
        <w:color w:val="012D4C" w:themeColor="text2" w:themeShade="BF"/>
        <w:sz w:val="24"/>
        <w:szCs w:val="24"/>
      </w:rPr>
      <w:instrText xml:space="preserve"> PAGE   \* MERGEFORMAT </w:instrText>
    </w:r>
    <w:r>
      <w:rPr>
        <w:color w:val="012D4C" w:themeColor="text2" w:themeShade="BF"/>
        <w:sz w:val="24"/>
        <w:szCs w:val="24"/>
      </w:rPr>
      <w:fldChar w:fldCharType="separate"/>
    </w:r>
    <w:r>
      <w:rPr>
        <w:color w:val="012D4C" w:themeColor="text2" w:themeShade="BF"/>
        <w:sz w:val="24"/>
        <w:szCs w:val="24"/>
      </w:rPr>
      <w:t>1</w:t>
    </w:r>
    <w:r>
      <w:rPr>
        <w:color w:val="012D4C" w:themeColor="text2" w:themeShade="BF"/>
        <w:sz w:val="24"/>
        <w:szCs w:val="24"/>
      </w:rPr>
      <w:fldChar w:fldCharType="end"/>
    </w:r>
    <w:r>
      <w:rPr>
        <w:color w:val="012D4C" w:themeColor="text2" w:themeShade="BF"/>
        <w:sz w:val="24"/>
        <w:szCs w:val="24"/>
      </w:rPr>
      <w:t xml:space="preserve"> | </w:t>
    </w:r>
    <w:r>
      <w:rPr>
        <w:color w:val="012D4C" w:themeColor="text2" w:themeShade="BF"/>
        <w:sz w:val="24"/>
        <w:szCs w:val="24"/>
      </w:rPr>
      <w:fldChar w:fldCharType="begin"/>
    </w:r>
    <w:r>
      <w:rPr>
        <w:color w:val="012D4C" w:themeColor="text2" w:themeShade="BF"/>
        <w:sz w:val="24"/>
        <w:szCs w:val="24"/>
      </w:rPr>
      <w:instrText xml:space="preserve"> NUMPAGES  \* Arabic  \* MERGEFORMAT </w:instrText>
    </w:r>
    <w:r>
      <w:rPr>
        <w:color w:val="012D4C" w:themeColor="text2" w:themeShade="BF"/>
        <w:sz w:val="24"/>
        <w:szCs w:val="24"/>
      </w:rPr>
      <w:fldChar w:fldCharType="separate"/>
    </w:r>
    <w:r>
      <w:rPr>
        <w:color w:val="012D4C" w:themeColor="text2" w:themeShade="BF"/>
        <w:sz w:val="24"/>
        <w:szCs w:val="24"/>
      </w:rPr>
      <w:t>2</w:t>
    </w:r>
    <w:r>
      <w:rPr>
        <w:color w:val="012D4C" w:themeColor="text2" w:themeShade="BF"/>
        <w:sz w:val="24"/>
        <w:szCs w:val="24"/>
      </w:rPr>
      <w:fldChar w:fldCharType="end"/>
    </w:r>
  </w:p>
  <w:p w14:paraId="18F7518E" w14:textId="3FF2D47D" w:rsidR="00933DA8" w:rsidRDefault="00933DA8" w:rsidP="00933D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39D"/>
    <w:multiLevelType w:val="hybridMultilevel"/>
    <w:tmpl w:val="95A8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39AB"/>
    <w:multiLevelType w:val="hybridMultilevel"/>
    <w:tmpl w:val="54662350"/>
    <w:lvl w:ilvl="0" w:tplc="04090019">
      <w:start w:val="1"/>
      <w:numFmt w:val="lowerLetter"/>
      <w:lvlText w:val="%1."/>
      <w:lvlJc w:val="left"/>
      <w:pPr>
        <w:ind w:left="1440" w:hanging="720"/>
      </w:pPr>
      <w:rPr>
        <w:rFonts w:hint="default"/>
        <w:b w:val="0"/>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456D2"/>
    <w:multiLevelType w:val="hybridMultilevel"/>
    <w:tmpl w:val="3DC65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AFD"/>
    <w:multiLevelType w:val="hybridMultilevel"/>
    <w:tmpl w:val="6038CC36"/>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65BDD"/>
    <w:multiLevelType w:val="hybridMultilevel"/>
    <w:tmpl w:val="A504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21808"/>
    <w:multiLevelType w:val="hybridMultilevel"/>
    <w:tmpl w:val="24402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AA1A32"/>
    <w:multiLevelType w:val="hybridMultilevel"/>
    <w:tmpl w:val="150A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9368F"/>
    <w:multiLevelType w:val="hybridMultilevel"/>
    <w:tmpl w:val="8EC6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9327B"/>
    <w:multiLevelType w:val="hybridMultilevel"/>
    <w:tmpl w:val="A458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F2E16"/>
    <w:multiLevelType w:val="hybridMultilevel"/>
    <w:tmpl w:val="9576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94115"/>
    <w:multiLevelType w:val="hybridMultilevel"/>
    <w:tmpl w:val="B290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92837">
    <w:abstractNumId w:val="6"/>
  </w:num>
  <w:num w:numId="2" w16cid:durableId="1126629551">
    <w:abstractNumId w:val="3"/>
  </w:num>
  <w:num w:numId="3" w16cid:durableId="255284819">
    <w:abstractNumId w:val="5"/>
  </w:num>
  <w:num w:numId="4" w16cid:durableId="738987895">
    <w:abstractNumId w:val="2"/>
  </w:num>
  <w:num w:numId="5" w16cid:durableId="613710298">
    <w:abstractNumId w:val="8"/>
  </w:num>
  <w:num w:numId="6" w16cid:durableId="908347148">
    <w:abstractNumId w:val="1"/>
  </w:num>
  <w:num w:numId="7" w16cid:durableId="1330254178">
    <w:abstractNumId w:val="7"/>
  </w:num>
  <w:num w:numId="8" w16cid:durableId="759569839">
    <w:abstractNumId w:val="0"/>
  </w:num>
  <w:num w:numId="9" w16cid:durableId="1574193485">
    <w:abstractNumId w:val="9"/>
  </w:num>
  <w:num w:numId="10" w16cid:durableId="60564781">
    <w:abstractNumId w:val="10"/>
  </w:num>
  <w:num w:numId="11" w16cid:durableId="1052077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D9"/>
    <w:rsid w:val="000169DB"/>
    <w:rsid w:val="00030DE9"/>
    <w:rsid w:val="000335DA"/>
    <w:rsid w:val="00082389"/>
    <w:rsid w:val="000B3FDD"/>
    <w:rsid w:val="001138BF"/>
    <w:rsid w:val="00121127"/>
    <w:rsid w:val="00130FFF"/>
    <w:rsid w:val="00135372"/>
    <w:rsid w:val="001470F7"/>
    <w:rsid w:val="00190FEB"/>
    <w:rsid w:val="001C4F1B"/>
    <w:rsid w:val="001D68CA"/>
    <w:rsid w:val="002155A7"/>
    <w:rsid w:val="002220AA"/>
    <w:rsid w:val="002361BE"/>
    <w:rsid w:val="002521FA"/>
    <w:rsid w:val="002744DC"/>
    <w:rsid w:val="002762A6"/>
    <w:rsid w:val="00283ABE"/>
    <w:rsid w:val="002929B4"/>
    <w:rsid w:val="002946BD"/>
    <w:rsid w:val="00296100"/>
    <w:rsid w:val="00297780"/>
    <w:rsid w:val="002A5F6D"/>
    <w:rsid w:val="002C4193"/>
    <w:rsid w:val="002F2385"/>
    <w:rsid w:val="003104B2"/>
    <w:rsid w:val="00315C59"/>
    <w:rsid w:val="00321993"/>
    <w:rsid w:val="00324FE1"/>
    <w:rsid w:val="00392BF3"/>
    <w:rsid w:val="003C0105"/>
    <w:rsid w:val="003D244A"/>
    <w:rsid w:val="003E2381"/>
    <w:rsid w:val="003E2F8D"/>
    <w:rsid w:val="003F4D8C"/>
    <w:rsid w:val="00407507"/>
    <w:rsid w:val="0041737E"/>
    <w:rsid w:val="00424B4E"/>
    <w:rsid w:val="00434037"/>
    <w:rsid w:val="00434C19"/>
    <w:rsid w:val="00455877"/>
    <w:rsid w:val="00476C22"/>
    <w:rsid w:val="00483521"/>
    <w:rsid w:val="004A21F7"/>
    <w:rsid w:val="004A3048"/>
    <w:rsid w:val="004A6F62"/>
    <w:rsid w:val="004B6FA3"/>
    <w:rsid w:val="004B7840"/>
    <w:rsid w:val="004C54EF"/>
    <w:rsid w:val="004D1219"/>
    <w:rsid w:val="00503A59"/>
    <w:rsid w:val="005141E9"/>
    <w:rsid w:val="0052447B"/>
    <w:rsid w:val="00524ED4"/>
    <w:rsid w:val="00535E15"/>
    <w:rsid w:val="0056429E"/>
    <w:rsid w:val="0058049E"/>
    <w:rsid w:val="00594AD4"/>
    <w:rsid w:val="0060085C"/>
    <w:rsid w:val="006210B6"/>
    <w:rsid w:val="006227D7"/>
    <w:rsid w:val="00627D95"/>
    <w:rsid w:val="006314A4"/>
    <w:rsid w:val="00643302"/>
    <w:rsid w:val="00646712"/>
    <w:rsid w:val="0068214B"/>
    <w:rsid w:val="00697537"/>
    <w:rsid w:val="006A04B4"/>
    <w:rsid w:val="006A2655"/>
    <w:rsid w:val="006A3516"/>
    <w:rsid w:val="006B4959"/>
    <w:rsid w:val="006B66CC"/>
    <w:rsid w:val="006F5CA2"/>
    <w:rsid w:val="00710EE9"/>
    <w:rsid w:val="0071375E"/>
    <w:rsid w:val="00745183"/>
    <w:rsid w:val="0075092A"/>
    <w:rsid w:val="007656D9"/>
    <w:rsid w:val="007801EA"/>
    <w:rsid w:val="00791930"/>
    <w:rsid w:val="007A0E47"/>
    <w:rsid w:val="007A2DF5"/>
    <w:rsid w:val="007E21D6"/>
    <w:rsid w:val="00806319"/>
    <w:rsid w:val="008235ED"/>
    <w:rsid w:val="00841C6B"/>
    <w:rsid w:val="008A5243"/>
    <w:rsid w:val="008A5C95"/>
    <w:rsid w:val="008B61BE"/>
    <w:rsid w:val="008C3E0D"/>
    <w:rsid w:val="008F3ECA"/>
    <w:rsid w:val="0091421E"/>
    <w:rsid w:val="00917906"/>
    <w:rsid w:val="0092123F"/>
    <w:rsid w:val="00931120"/>
    <w:rsid w:val="00933DA8"/>
    <w:rsid w:val="00950623"/>
    <w:rsid w:val="00971A53"/>
    <w:rsid w:val="009823CA"/>
    <w:rsid w:val="00987A46"/>
    <w:rsid w:val="009A2108"/>
    <w:rsid w:val="009D5FF2"/>
    <w:rsid w:val="009E6327"/>
    <w:rsid w:val="00A16366"/>
    <w:rsid w:val="00A16374"/>
    <w:rsid w:val="00A24E49"/>
    <w:rsid w:val="00A60993"/>
    <w:rsid w:val="00A7481E"/>
    <w:rsid w:val="00A87199"/>
    <w:rsid w:val="00AB3E55"/>
    <w:rsid w:val="00AB5E9A"/>
    <w:rsid w:val="00B029DD"/>
    <w:rsid w:val="00B1735A"/>
    <w:rsid w:val="00B40672"/>
    <w:rsid w:val="00B4385B"/>
    <w:rsid w:val="00B51327"/>
    <w:rsid w:val="00B5711F"/>
    <w:rsid w:val="00B61405"/>
    <w:rsid w:val="00B7467C"/>
    <w:rsid w:val="00B74B4E"/>
    <w:rsid w:val="00B75E02"/>
    <w:rsid w:val="00B873BA"/>
    <w:rsid w:val="00BE2928"/>
    <w:rsid w:val="00BF5101"/>
    <w:rsid w:val="00C022C8"/>
    <w:rsid w:val="00C17B6D"/>
    <w:rsid w:val="00C42009"/>
    <w:rsid w:val="00C444EC"/>
    <w:rsid w:val="00C73EE5"/>
    <w:rsid w:val="00C75794"/>
    <w:rsid w:val="00C8306E"/>
    <w:rsid w:val="00CA48A8"/>
    <w:rsid w:val="00CC78B1"/>
    <w:rsid w:val="00CE4F5D"/>
    <w:rsid w:val="00D17C5D"/>
    <w:rsid w:val="00D3495D"/>
    <w:rsid w:val="00D93034"/>
    <w:rsid w:val="00D97963"/>
    <w:rsid w:val="00DA34FF"/>
    <w:rsid w:val="00DA4DB1"/>
    <w:rsid w:val="00DB03F0"/>
    <w:rsid w:val="00DC3175"/>
    <w:rsid w:val="00DC7363"/>
    <w:rsid w:val="00DE0BF1"/>
    <w:rsid w:val="00DE0EA7"/>
    <w:rsid w:val="00DE74CA"/>
    <w:rsid w:val="00DF647A"/>
    <w:rsid w:val="00E265A0"/>
    <w:rsid w:val="00E4459E"/>
    <w:rsid w:val="00E45BBF"/>
    <w:rsid w:val="00E73B3F"/>
    <w:rsid w:val="00E829CC"/>
    <w:rsid w:val="00EB4A79"/>
    <w:rsid w:val="00ED44D0"/>
    <w:rsid w:val="00ED7241"/>
    <w:rsid w:val="00EE11CB"/>
    <w:rsid w:val="00EF1242"/>
    <w:rsid w:val="00EF7E7D"/>
    <w:rsid w:val="00F07C11"/>
    <w:rsid w:val="00F41BA2"/>
    <w:rsid w:val="00F51BF4"/>
    <w:rsid w:val="00F55A49"/>
    <w:rsid w:val="00F62315"/>
    <w:rsid w:val="00F75F58"/>
    <w:rsid w:val="00F96728"/>
    <w:rsid w:val="00FC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BE1C9"/>
  <w15:chartTrackingRefBased/>
  <w15:docId w15:val="{5A0C120F-0290-429F-8497-B97F5870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81"/>
  </w:style>
  <w:style w:type="paragraph" w:styleId="Heading3">
    <w:name w:val="heading 3"/>
    <w:basedOn w:val="Normal"/>
    <w:link w:val="Heading3Char"/>
    <w:uiPriority w:val="9"/>
    <w:qFormat/>
    <w:rsid w:val="001470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6D9"/>
    <w:pPr>
      <w:spacing w:after="0" w:line="240" w:lineRule="auto"/>
    </w:pPr>
  </w:style>
  <w:style w:type="paragraph" w:styleId="ListParagraph">
    <w:name w:val="List Paragraph"/>
    <w:basedOn w:val="Normal"/>
    <w:uiPriority w:val="34"/>
    <w:qFormat/>
    <w:rsid w:val="007656D9"/>
    <w:pPr>
      <w:ind w:left="720"/>
      <w:contextualSpacing/>
    </w:pPr>
  </w:style>
  <w:style w:type="table" w:styleId="TableGrid">
    <w:name w:val="Table Grid"/>
    <w:basedOn w:val="TableNormal"/>
    <w:uiPriority w:val="59"/>
    <w:rsid w:val="00EB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4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A7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470F7"/>
    <w:rPr>
      <w:rFonts w:ascii="Times New Roman" w:eastAsia="Times New Roman" w:hAnsi="Times New Roman" w:cs="Times New Roman"/>
      <w:b/>
      <w:bCs/>
      <w:sz w:val="27"/>
      <w:szCs w:val="27"/>
    </w:rPr>
  </w:style>
  <w:style w:type="character" w:customStyle="1" w:styleId="search-custom-heading">
    <w:name w:val="search-custom-heading"/>
    <w:basedOn w:val="DefaultParagraphFont"/>
    <w:rsid w:val="001470F7"/>
  </w:style>
  <w:style w:type="character" w:styleId="Hyperlink">
    <w:name w:val="Hyperlink"/>
    <w:basedOn w:val="DefaultParagraphFont"/>
    <w:uiPriority w:val="99"/>
    <w:unhideWhenUsed/>
    <w:rsid w:val="008A5243"/>
    <w:rPr>
      <w:color w:val="0000FF"/>
      <w:u w:val="single"/>
    </w:rPr>
  </w:style>
  <w:style w:type="paragraph" w:customStyle="1" w:styleId="Default">
    <w:name w:val="Default"/>
    <w:rsid w:val="00710EE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15C59"/>
    <w:rPr>
      <w:color w:val="605E5C"/>
      <w:shd w:val="clear" w:color="auto" w:fill="E1DFDD"/>
    </w:rPr>
  </w:style>
  <w:style w:type="paragraph" w:styleId="Header">
    <w:name w:val="header"/>
    <w:basedOn w:val="Normal"/>
    <w:link w:val="HeaderChar"/>
    <w:uiPriority w:val="99"/>
    <w:unhideWhenUsed/>
    <w:rsid w:val="00933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DA8"/>
  </w:style>
  <w:style w:type="paragraph" w:styleId="Footer">
    <w:name w:val="footer"/>
    <w:basedOn w:val="Normal"/>
    <w:link w:val="FooterChar"/>
    <w:uiPriority w:val="99"/>
    <w:unhideWhenUsed/>
    <w:rsid w:val="00933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1982">
      <w:bodyDiv w:val="1"/>
      <w:marLeft w:val="0"/>
      <w:marRight w:val="0"/>
      <w:marTop w:val="0"/>
      <w:marBottom w:val="0"/>
      <w:divBdr>
        <w:top w:val="none" w:sz="0" w:space="0" w:color="auto"/>
        <w:left w:val="none" w:sz="0" w:space="0" w:color="auto"/>
        <w:bottom w:val="none" w:sz="0" w:space="0" w:color="auto"/>
        <w:right w:val="none" w:sz="0" w:space="0" w:color="auto"/>
      </w:divBdr>
    </w:div>
    <w:div w:id="1166558023">
      <w:bodyDiv w:val="1"/>
      <w:marLeft w:val="0"/>
      <w:marRight w:val="0"/>
      <w:marTop w:val="0"/>
      <w:marBottom w:val="0"/>
      <w:divBdr>
        <w:top w:val="none" w:sz="0" w:space="0" w:color="auto"/>
        <w:left w:val="none" w:sz="0" w:space="0" w:color="auto"/>
        <w:bottom w:val="none" w:sz="0" w:space="0" w:color="auto"/>
        <w:right w:val="none" w:sz="0" w:space="0" w:color="auto"/>
      </w:divBdr>
    </w:div>
    <w:div w:id="18585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search-results-detail/3562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DOT Brand Standards">
      <a:dk1>
        <a:sysClr val="windowText" lastClr="000000"/>
      </a:dk1>
      <a:lt1>
        <a:sysClr val="window" lastClr="FFFFFF"/>
      </a:lt1>
      <a:dk2>
        <a:srgbClr val="023D67"/>
      </a:dk2>
      <a:lt2>
        <a:srgbClr val="B6B0A2"/>
      </a:lt2>
      <a:accent1>
        <a:srgbClr val="D34727"/>
      </a:accent1>
      <a:accent2>
        <a:srgbClr val="796E66"/>
      </a:accent2>
      <a:accent3>
        <a:srgbClr val="087482"/>
      </a:accent3>
      <a:accent4>
        <a:srgbClr val="A8353A"/>
      </a:accent4>
      <a:accent5>
        <a:srgbClr val="049FDA"/>
      </a:accent5>
      <a:accent6>
        <a:srgbClr val="FAA21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D3C8-41A4-4E07-A8A5-6E697447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Milakovic, Stewart M.</dc:creator>
  <cp:keywords/>
  <dc:description/>
  <cp:lastModifiedBy>Cermak, Davin</cp:lastModifiedBy>
  <cp:revision>9</cp:revision>
  <dcterms:created xsi:type="dcterms:W3CDTF">2024-08-28T14:53:00Z</dcterms:created>
  <dcterms:modified xsi:type="dcterms:W3CDTF">2024-08-28T20:35:00Z</dcterms:modified>
</cp:coreProperties>
</file>