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F0C" w:rsidRPr="009D0F0C" w:rsidRDefault="009D0F0C" w:rsidP="009D0F0C">
      <w:pPr>
        <w:jc w:val="center"/>
        <w:rPr>
          <w:b/>
          <w:u w:val="single"/>
        </w:rPr>
      </w:pPr>
      <w:r w:rsidRPr="009D0F0C">
        <w:rPr>
          <w:b/>
          <w:u w:val="single"/>
        </w:rPr>
        <w:t xml:space="preserve">Compensatory Wetland Mitigation Plan; Hwy 52 near Pingree;  </w:t>
      </w:r>
    </w:p>
    <w:p w:rsidR="00503D87" w:rsidRDefault="009D0F0C" w:rsidP="009D0F0C">
      <w:pPr>
        <w:jc w:val="center"/>
        <w:rPr>
          <w:b/>
          <w:u w:val="single"/>
        </w:rPr>
      </w:pPr>
      <w:r>
        <w:rPr>
          <w:b/>
          <w:u w:val="single"/>
        </w:rPr>
        <w:t>February 2</w:t>
      </w:r>
      <w:r w:rsidRPr="009D0F0C">
        <w:rPr>
          <w:b/>
          <w:u w:val="single"/>
        </w:rPr>
        <w:t>, 2017</w:t>
      </w:r>
    </w:p>
    <w:p w:rsidR="009D0F0C" w:rsidRDefault="009D0F0C" w:rsidP="009D0F0C">
      <w:pPr>
        <w:jc w:val="center"/>
        <w:rPr>
          <w:sz w:val="22"/>
          <w:szCs w:val="22"/>
        </w:rPr>
      </w:pPr>
    </w:p>
    <w:p w:rsidR="009D0F0C" w:rsidRPr="00B86073" w:rsidRDefault="009D0F0C" w:rsidP="009D0F0C">
      <w:pPr>
        <w:jc w:val="center"/>
        <w:rPr>
          <w:sz w:val="22"/>
          <w:szCs w:val="22"/>
        </w:rPr>
      </w:pPr>
    </w:p>
    <w:p w:rsidR="00236C8E" w:rsidRDefault="00503D87" w:rsidP="001E35D4">
      <w:pPr>
        <w:numPr>
          <w:ilvl w:val="0"/>
          <w:numId w:val="6"/>
        </w:numPr>
        <w:rPr>
          <w:sz w:val="22"/>
          <w:szCs w:val="22"/>
        </w:rPr>
      </w:pPr>
      <w:r w:rsidRPr="00B86073">
        <w:rPr>
          <w:b/>
          <w:sz w:val="22"/>
          <w:szCs w:val="22"/>
          <w:u w:val="single"/>
        </w:rPr>
        <w:t>OBJECTIVE</w:t>
      </w:r>
      <w:r w:rsidRPr="00B86073">
        <w:rPr>
          <w:sz w:val="22"/>
          <w:szCs w:val="22"/>
        </w:rPr>
        <w:t xml:space="preserve">: </w:t>
      </w:r>
    </w:p>
    <w:p w:rsidR="009B4C96" w:rsidRDefault="003A2864" w:rsidP="00236C8E">
      <w:pPr>
        <w:ind w:left="720"/>
        <w:rPr>
          <w:sz w:val="22"/>
          <w:szCs w:val="22"/>
        </w:rPr>
      </w:pPr>
      <w:r>
        <w:rPr>
          <w:sz w:val="22"/>
          <w:szCs w:val="22"/>
        </w:rPr>
        <w:t>The objective is to create a shallow, seasonal palustrine emergent (PEM</w:t>
      </w:r>
      <w:r w:rsidR="00CF31D4">
        <w:rPr>
          <w:sz w:val="22"/>
          <w:szCs w:val="22"/>
        </w:rPr>
        <w:t>x</w:t>
      </w:r>
      <w:r>
        <w:rPr>
          <w:sz w:val="22"/>
          <w:szCs w:val="22"/>
        </w:rPr>
        <w:t>) wetland consisting of a prevalence of herbaceous hydrophytic vegetation. The mitigation area</w:t>
      </w:r>
      <w:r w:rsidR="00483A85">
        <w:rPr>
          <w:sz w:val="22"/>
          <w:szCs w:val="22"/>
        </w:rPr>
        <w:t xml:space="preserve"> of Site 1 is 0.14 acre</w:t>
      </w:r>
      <w:r>
        <w:rPr>
          <w:sz w:val="22"/>
          <w:szCs w:val="22"/>
        </w:rPr>
        <w:t xml:space="preserve"> which expands wetland 1d(d) to mitigate for losses to wetland 1d(c)</w:t>
      </w:r>
      <w:r w:rsidR="00483A85">
        <w:rPr>
          <w:sz w:val="22"/>
          <w:szCs w:val="22"/>
        </w:rPr>
        <w:t xml:space="preserve"> of which 0.10 acre is required to function for the USACE</w:t>
      </w:r>
      <w:r>
        <w:rPr>
          <w:sz w:val="22"/>
          <w:szCs w:val="22"/>
        </w:rPr>
        <w:t xml:space="preserve">. The created wetland will be constructed within the NDDOT right of way along US 52 / 281 near Pingree. </w:t>
      </w:r>
      <w:r w:rsidR="009B4C96">
        <w:rPr>
          <w:sz w:val="22"/>
          <w:szCs w:val="22"/>
        </w:rPr>
        <w:t xml:space="preserve">Ditch bottoms will be widened and deepened in </w:t>
      </w:r>
      <w:r w:rsidR="00CD031D">
        <w:rPr>
          <w:sz w:val="22"/>
          <w:szCs w:val="22"/>
        </w:rPr>
        <w:t xml:space="preserve">one area to </w:t>
      </w:r>
      <w:r w:rsidR="00CF31D4">
        <w:rPr>
          <w:sz w:val="22"/>
          <w:szCs w:val="22"/>
        </w:rPr>
        <w:t>pond</w:t>
      </w:r>
      <w:r w:rsidR="00CD031D">
        <w:rPr>
          <w:sz w:val="22"/>
          <w:szCs w:val="22"/>
        </w:rPr>
        <w:t xml:space="preserve"> water in the ditch</w:t>
      </w:r>
      <w:r w:rsidR="009B4C96">
        <w:rPr>
          <w:sz w:val="22"/>
          <w:szCs w:val="22"/>
        </w:rPr>
        <w:t xml:space="preserve"> to </w:t>
      </w:r>
      <w:r w:rsidR="00CD031D">
        <w:rPr>
          <w:sz w:val="22"/>
          <w:szCs w:val="22"/>
        </w:rPr>
        <w:t>an appropriate elevation. The mitigation area</w:t>
      </w:r>
      <w:r w:rsidR="00D42680">
        <w:rPr>
          <w:sz w:val="22"/>
          <w:szCs w:val="22"/>
        </w:rPr>
        <w:t xml:space="preserve"> </w:t>
      </w:r>
      <w:r w:rsidR="00CD031D">
        <w:rPr>
          <w:sz w:val="22"/>
          <w:szCs w:val="22"/>
        </w:rPr>
        <w:t>is</w:t>
      </w:r>
      <w:r w:rsidR="00D42680">
        <w:rPr>
          <w:sz w:val="22"/>
          <w:szCs w:val="22"/>
        </w:rPr>
        <w:t xml:space="preserve"> proposed to be adjacent to the impacted </w:t>
      </w:r>
      <w:r w:rsidR="00CD031D">
        <w:rPr>
          <w:sz w:val="22"/>
          <w:szCs w:val="22"/>
        </w:rPr>
        <w:t xml:space="preserve">wetlands. </w:t>
      </w:r>
      <w:r>
        <w:rPr>
          <w:sz w:val="22"/>
          <w:szCs w:val="22"/>
        </w:rPr>
        <w:t>The created wetlands will offset the unavoidable loss of aquatic</w:t>
      </w:r>
      <w:r w:rsidR="00CF31D4">
        <w:rPr>
          <w:sz w:val="22"/>
          <w:szCs w:val="22"/>
        </w:rPr>
        <w:t xml:space="preserve"> resource functions and values</w:t>
      </w:r>
      <w:r>
        <w:rPr>
          <w:sz w:val="22"/>
          <w:szCs w:val="22"/>
        </w:rPr>
        <w:t>.</w:t>
      </w:r>
    </w:p>
    <w:p w:rsidR="00271A75" w:rsidRDefault="00271A75" w:rsidP="00E3370C">
      <w:pPr>
        <w:rPr>
          <w:sz w:val="22"/>
          <w:szCs w:val="22"/>
        </w:rPr>
      </w:pPr>
    </w:p>
    <w:p w:rsidR="00236C8E" w:rsidRDefault="00236C8E" w:rsidP="00E3370C">
      <w:pPr>
        <w:rPr>
          <w:sz w:val="22"/>
          <w:szCs w:val="22"/>
        </w:rPr>
      </w:pPr>
    </w:p>
    <w:p w:rsidR="00236C8E" w:rsidRDefault="00503D87" w:rsidP="001E35D4">
      <w:pPr>
        <w:numPr>
          <w:ilvl w:val="0"/>
          <w:numId w:val="6"/>
        </w:numPr>
        <w:rPr>
          <w:sz w:val="22"/>
          <w:szCs w:val="22"/>
        </w:rPr>
      </w:pPr>
      <w:r w:rsidRPr="00B86073">
        <w:rPr>
          <w:b/>
          <w:sz w:val="22"/>
          <w:szCs w:val="22"/>
          <w:u w:val="single"/>
        </w:rPr>
        <w:t>SITE SELECTION</w:t>
      </w:r>
      <w:r w:rsidRPr="00B86073">
        <w:rPr>
          <w:sz w:val="22"/>
          <w:szCs w:val="22"/>
        </w:rPr>
        <w:t>:</w:t>
      </w:r>
      <w:r w:rsidR="00B86073">
        <w:rPr>
          <w:sz w:val="22"/>
          <w:szCs w:val="22"/>
        </w:rPr>
        <w:t xml:space="preserve"> </w:t>
      </w:r>
    </w:p>
    <w:p w:rsidR="009E6FD7" w:rsidRDefault="00483A85" w:rsidP="00236C8E">
      <w:pPr>
        <w:ind w:left="720"/>
        <w:rPr>
          <w:sz w:val="22"/>
          <w:szCs w:val="22"/>
        </w:rPr>
      </w:pPr>
      <w:r>
        <w:rPr>
          <w:sz w:val="22"/>
          <w:szCs w:val="22"/>
        </w:rPr>
        <w:t>The site was selected due to the location adjacent to existing wetlands, the contributing watershed, suitable soils, the proximity to the project, the ease of construction, and because it is within existing DOT right of way.</w:t>
      </w:r>
      <w:r w:rsidR="007B50ED" w:rsidRPr="007B50ED">
        <w:rPr>
          <w:sz w:val="22"/>
          <w:szCs w:val="22"/>
        </w:rPr>
        <w:t xml:space="preserve">  </w:t>
      </w:r>
      <w:r>
        <w:rPr>
          <w:sz w:val="22"/>
          <w:szCs w:val="22"/>
        </w:rPr>
        <w:t xml:space="preserve">Excavated material from the created wetland will </w:t>
      </w:r>
      <w:r w:rsidR="00CF31D4">
        <w:rPr>
          <w:sz w:val="22"/>
          <w:szCs w:val="22"/>
        </w:rPr>
        <w:t xml:space="preserve">may </w:t>
      </w:r>
      <w:r>
        <w:rPr>
          <w:sz w:val="22"/>
          <w:szCs w:val="22"/>
        </w:rPr>
        <w:t xml:space="preserve">be utilized in the roadway embankment. The created wetland area will be sustained through storm water runoff and spring snow melt. </w:t>
      </w:r>
      <w:r w:rsidR="009E6FD7">
        <w:rPr>
          <w:sz w:val="22"/>
          <w:szCs w:val="22"/>
        </w:rPr>
        <w:t>All impacts and mitigation are within the Missouri River Basin Southern Zone Regional Service Area.</w:t>
      </w:r>
    </w:p>
    <w:p w:rsidR="009E6FD7" w:rsidRDefault="009E6FD7" w:rsidP="00E3370C">
      <w:pPr>
        <w:rPr>
          <w:sz w:val="22"/>
          <w:szCs w:val="22"/>
        </w:rPr>
      </w:pPr>
    </w:p>
    <w:p w:rsidR="009E6FD7" w:rsidRDefault="009E6FD7" w:rsidP="001E35D4">
      <w:pPr>
        <w:ind w:left="720"/>
        <w:rPr>
          <w:sz w:val="22"/>
          <w:szCs w:val="22"/>
        </w:rPr>
      </w:pPr>
      <w:r>
        <w:rPr>
          <w:sz w:val="22"/>
          <w:szCs w:val="22"/>
        </w:rPr>
        <w:t>Hydrology</w:t>
      </w:r>
    </w:p>
    <w:p w:rsidR="009E6FD7" w:rsidRDefault="009E6FD7" w:rsidP="001E35D4">
      <w:pPr>
        <w:ind w:left="720"/>
        <w:rPr>
          <w:sz w:val="22"/>
          <w:szCs w:val="22"/>
        </w:rPr>
      </w:pPr>
      <w:r>
        <w:rPr>
          <w:sz w:val="22"/>
          <w:szCs w:val="22"/>
        </w:rPr>
        <w:t xml:space="preserve">Site 1 is adjacent to wetland 1d(d) which receive hydrology from stormwater and snow melt from the </w:t>
      </w:r>
      <w:r w:rsidR="00D1034E">
        <w:rPr>
          <w:sz w:val="22"/>
          <w:szCs w:val="22"/>
        </w:rPr>
        <w:t>42.8</w:t>
      </w:r>
      <w:r>
        <w:rPr>
          <w:sz w:val="22"/>
          <w:szCs w:val="22"/>
        </w:rPr>
        <w:t xml:space="preserve"> acre</w:t>
      </w:r>
      <w:r w:rsidR="00D1034E">
        <w:rPr>
          <w:sz w:val="22"/>
          <w:szCs w:val="22"/>
        </w:rPr>
        <w:t>s</w:t>
      </w:r>
      <w:r>
        <w:rPr>
          <w:sz w:val="22"/>
          <w:szCs w:val="22"/>
        </w:rPr>
        <w:t xml:space="preserve"> of contributing watershed.</w:t>
      </w:r>
    </w:p>
    <w:p w:rsidR="009E6FD7" w:rsidRDefault="009E6FD7" w:rsidP="001E35D4">
      <w:pPr>
        <w:ind w:left="720"/>
        <w:rPr>
          <w:sz w:val="22"/>
          <w:szCs w:val="22"/>
        </w:rPr>
      </w:pPr>
    </w:p>
    <w:p w:rsidR="009E6FD7" w:rsidRDefault="009E6FD7" w:rsidP="001E35D4">
      <w:pPr>
        <w:ind w:left="720"/>
        <w:rPr>
          <w:sz w:val="22"/>
          <w:szCs w:val="22"/>
        </w:rPr>
      </w:pPr>
      <w:r>
        <w:rPr>
          <w:sz w:val="22"/>
          <w:szCs w:val="22"/>
        </w:rPr>
        <w:t>Soils</w:t>
      </w:r>
    </w:p>
    <w:p w:rsidR="00E3370C" w:rsidRDefault="00483A85" w:rsidP="001E35D4">
      <w:pPr>
        <w:ind w:left="720"/>
        <w:rPr>
          <w:sz w:val="22"/>
          <w:szCs w:val="22"/>
        </w:rPr>
      </w:pPr>
      <w:r>
        <w:rPr>
          <w:sz w:val="22"/>
          <w:szCs w:val="22"/>
        </w:rPr>
        <w:t xml:space="preserve">The existing </w:t>
      </w:r>
      <w:r w:rsidR="007B50ED" w:rsidRPr="007B50ED">
        <w:rPr>
          <w:sz w:val="22"/>
          <w:szCs w:val="22"/>
        </w:rPr>
        <w:t xml:space="preserve">NRCS Web Soil Survey generally indicates soil characteristics at the site near wetland </w:t>
      </w:r>
      <w:r w:rsidR="007B50ED">
        <w:rPr>
          <w:sz w:val="22"/>
          <w:szCs w:val="22"/>
        </w:rPr>
        <w:t xml:space="preserve">1d(d) and 1d(c) </w:t>
      </w:r>
      <w:r w:rsidR="007B50ED" w:rsidRPr="007B50ED">
        <w:rPr>
          <w:sz w:val="22"/>
          <w:szCs w:val="22"/>
        </w:rPr>
        <w:t xml:space="preserve"> consist of </w:t>
      </w:r>
      <w:r w:rsidR="007B50ED">
        <w:rPr>
          <w:sz w:val="22"/>
          <w:szCs w:val="22"/>
        </w:rPr>
        <w:t>soils having a high infiltration rate</w:t>
      </w:r>
      <w:r w:rsidR="007B50ED" w:rsidRPr="007B50ED">
        <w:rPr>
          <w:sz w:val="22"/>
          <w:szCs w:val="22"/>
        </w:rPr>
        <w:t xml:space="preserve"> with a 0-</w:t>
      </w:r>
      <w:r w:rsidR="007B50ED">
        <w:rPr>
          <w:sz w:val="22"/>
          <w:szCs w:val="22"/>
        </w:rPr>
        <w:t>3</w:t>
      </w:r>
      <w:r w:rsidR="007B50ED" w:rsidRPr="007B50ED">
        <w:rPr>
          <w:sz w:val="22"/>
          <w:szCs w:val="22"/>
        </w:rPr>
        <w:t xml:space="preserve"> percent slope with fine</w:t>
      </w:r>
      <w:r w:rsidR="007B50ED">
        <w:rPr>
          <w:sz w:val="22"/>
          <w:szCs w:val="22"/>
        </w:rPr>
        <w:t xml:space="preserve"> sandy loam</w:t>
      </w:r>
      <w:r w:rsidR="007B50ED" w:rsidRPr="007B50ED">
        <w:rPr>
          <w:sz w:val="22"/>
          <w:szCs w:val="22"/>
        </w:rPr>
        <w:t xml:space="preserve"> soils with a </w:t>
      </w:r>
      <w:r w:rsidR="007B50ED">
        <w:rPr>
          <w:sz w:val="22"/>
          <w:szCs w:val="22"/>
        </w:rPr>
        <w:t>36 - 60</w:t>
      </w:r>
      <w:r w:rsidR="007B50ED" w:rsidRPr="007B50ED">
        <w:rPr>
          <w:sz w:val="22"/>
          <w:szCs w:val="22"/>
        </w:rPr>
        <w:t xml:space="preserve">” water table.  </w:t>
      </w:r>
    </w:p>
    <w:p w:rsidR="00271A75" w:rsidRDefault="00271A75">
      <w:pPr>
        <w:rPr>
          <w:sz w:val="22"/>
          <w:szCs w:val="22"/>
        </w:rPr>
      </w:pPr>
    </w:p>
    <w:p w:rsidR="00236C8E" w:rsidRDefault="00236C8E">
      <w:pPr>
        <w:rPr>
          <w:sz w:val="22"/>
          <w:szCs w:val="22"/>
        </w:rPr>
      </w:pPr>
    </w:p>
    <w:p w:rsidR="00236C8E" w:rsidRPr="00236C8E" w:rsidRDefault="00503D87" w:rsidP="001E35D4">
      <w:pPr>
        <w:numPr>
          <w:ilvl w:val="0"/>
          <w:numId w:val="6"/>
        </w:numPr>
        <w:rPr>
          <w:sz w:val="22"/>
          <w:szCs w:val="22"/>
        </w:rPr>
      </w:pPr>
      <w:r w:rsidRPr="00B86073">
        <w:rPr>
          <w:b/>
          <w:sz w:val="22"/>
          <w:szCs w:val="22"/>
          <w:u w:val="single"/>
        </w:rPr>
        <w:t>SITE PROTECTION</w:t>
      </w:r>
      <w:r w:rsidRPr="00B86073">
        <w:rPr>
          <w:sz w:val="22"/>
          <w:szCs w:val="22"/>
        </w:rPr>
        <w:t>:</w:t>
      </w:r>
      <w:r w:rsidR="005A7C25" w:rsidRPr="00526E66">
        <w:rPr>
          <w:rFonts w:ascii="Arial" w:eastAsia="Calibri" w:hAnsi="Arial" w:cs="Arial"/>
        </w:rPr>
        <w:t xml:space="preserve"> </w:t>
      </w:r>
    </w:p>
    <w:p w:rsidR="005A7C25" w:rsidRPr="005A7C25" w:rsidRDefault="005A7C25" w:rsidP="00236C8E">
      <w:pPr>
        <w:ind w:left="720"/>
        <w:rPr>
          <w:sz w:val="22"/>
          <w:szCs w:val="22"/>
        </w:rPr>
      </w:pPr>
      <w:r w:rsidRPr="005A7C25">
        <w:rPr>
          <w:sz w:val="22"/>
          <w:szCs w:val="22"/>
        </w:rPr>
        <w:t>The mitigation site is located within the NDDOT's permanent ROW.  The mitigation site will be protected in perpetuity.  In the event of highway abandonment, the terms of the permit and mitigation will be transferred to the receiving property owner.</w:t>
      </w:r>
    </w:p>
    <w:p w:rsidR="00271A75" w:rsidRDefault="00271A75">
      <w:pPr>
        <w:rPr>
          <w:sz w:val="22"/>
          <w:szCs w:val="22"/>
        </w:rPr>
      </w:pPr>
    </w:p>
    <w:p w:rsidR="00236C8E" w:rsidRPr="00B86073" w:rsidRDefault="00236C8E">
      <w:pPr>
        <w:rPr>
          <w:sz w:val="22"/>
          <w:szCs w:val="22"/>
        </w:rPr>
      </w:pPr>
    </w:p>
    <w:p w:rsidR="00236C8E" w:rsidRDefault="00503D87" w:rsidP="001E35D4">
      <w:pPr>
        <w:numPr>
          <w:ilvl w:val="0"/>
          <w:numId w:val="6"/>
        </w:numPr>
        <w:rPr>
          <w:sz w:val="22"/>
          <w:szCs w:val="22"/>
        </w:rPr>
      </w:pPr>
      <w:r w:rsidRPr="00A90ADB">
        <w:rPr>
          <w:b/>
          <w:sz w:val="22"/>
          <w:szCs w:val="22"/>
          <w:u w:val="single"/>
        </w:rPr>
        <w:t>BASELINE INFORMATION</w:t>
      </w:r>
      <w:r w:rsidR="003E184D" w:rsidRPr="00A90ADB">
        <w:rPr>
          <w:sz w:val="22"/>
          <w:szCs w:val="22"/>
        </w:rPr>
        <w:t>:</w:t>
      </w:r>
      <w:r w:rsidR="00B86073" w:rsidRPr="00A90ADB">
        <w:rPr>
          <w:sz w:val="22"/>
          <w:szCs w:val="22"/>
        </w:rPr>
        <w:t xml:space="preserve"> </w:t>
      </w:r>
    </w:p>
    <w:p w:rsidR="001E5C0C" w:rsidRDefault="00CF31D4" w:rsidP="00236C8E">
      <w:pPr>
        <w:ind w:left="720"/>
        <w:rPr>
          <w:sz w:val="22"/>
          <w:szCs w:val="22"/>
        </w:rPr>
      </w:pPr>
      <w:r>
        <w:rPr>
          <w:sz w:val="22"/>
          <w:szCs w:val="22"/>
        </w:rPr>
        <w:t>A field delineation</w:t>
      </w:r>
      <w:r w:rsidR="005A7C25" w:rsidRPr="005A7C25">
        <w:rPr>
          <w:sz w:val="22"/>
          <w:szCs w:val="22"/>
        </w:rPr>
        <w:t xml:space="preserve"> was conducted</w:t>
      </w:r>
      <w:r w:rsidR="001E35D4">
        <w:rPr>
          <w:sz w:val="22"/>
          <w:szCs w:val="22"/>
        </w:rPr>
        <w:t xml:space="preserve"> on November 24, 2015 and June 16, 2016</w:t>
      </w:r>
      <w:r w:rsidR="005A7C25" w:rsidRPr="005A7C25">
        <w:rPr>
          <w:sz w:val="22"/>
          <w:szCs w:val="22"/>
        </w:rPr>
        <w:t>.  The mitigation site vegetation is above the existing adjacent wetland and dominated by upland vegetation typical on NDDOT ROW.  The area does not have a cropping history.  The upland area will be converted to wetland with hydrology driven by spring snowmelt and storm water runoff.</w:t>
      </w:r>
      <w:r w:rsidR="005A7C25">
        <w:rPr>
          <w:sz w:val="22"/>
          <w:szCs w:val="22"/>
        </w:rPr>
        <w:t xml:space="preserve"> </w:t>
      </w:r>
      <w:r w:rsidR="001E5C0C">
        <w:rPr>
          <w:sz w:val="22"/>
          <w:szCs w:val="22"/>
        </w:rPr>
        <w:t xml:space="preserve">The proposal is to expand wetland 1d(d) to compensate for the permanent impacts to wetland 1d(c). </w:t>
      </w:r>
    </w:p>
    <w:p w:rsidR="001E5C0C" w:rsidRDefault="001E5C0C">
      <w:pPr>
        <w:rPr>
          <w:sz w:val="22"/>
          <w:szCs w:val="22"/>
        </w:rPr>
      </w:pPr>
      <w:r>
        <w:rPr>
          <w:sz w:val="22"/>
          <w:szCs w:val="22"/>
        </w:rPr>
        <w:tab/>
      </w:r>
      <w:r>
        <w:rPr>
          <w:sz w:val="22"/>
          <w:szCs w:val="22"/>
        </w:rPr>
        <w:tab/>
      </w:r>
    </w:p>
    <w:p w:rsidR="001E5C0C" w:rsidRDefault="001E35D4" w:rsidP="00CF31D4">
      <w:pPr>
        <w:numPr>
          <w:ilvl w:val="0"/>
          <w:numId w:val="12"/>
        </w:numPr>
        <w:rPr>
          <w:sz w:val="22"/>
          <w:szCs w:val="22"/>
        </w:rPr>
      </w:pPr>
      <w:r>
        <w:rPr>
          <w:sz w:val="22"/>
          <w:szCs w:val="22"/>
        </w:rPr>
        <w:t>Hydrology</w:t>
      </w:r>
    </w:p>
    <w:p w:rsidR="00C1477B" w:rsidRDefault="00C1477B" w:rsidP="00CF31D4">
      <w:pPr>
        <w:ind w:left="1440"/>
        <w:rPr>
          <w:sz w:val="22"/>
          <w:szCs w:val="22"/>
        </w:rPr>
      </w:pPr>
      <w:r w:rsidRPr="00A90ADB">
        <w:rPr>
          <w:sz w:val="22"/>
          <w:szCs w:val="22"/>
        </w:rPr>
        <w:t>T</w:t>
      </w:r>
      <w:r w:rsidR="001E5C0C">
        <w:rPr>
          <w:sz w:val="22"/>
          <w:szCs w:val="22"/>
        </w:rPr>
        <w:t xml:space="preserve">his drainage area of the James Headwaters </w:t>
      </w:r>
      <w:r>
        <w:rPr>
          <w:sz w:val="22"/>
          <w:szCs w:val="22"/>
        </w:rPr>
        <w:t xml:space="preserve">hydrologic unit </w:t>
      </w:r>
      <w:r w:rsidR="001E5C0C">
        <w:rPr>
          <w:sz w:val="22"/>
          <w:szCs w:val="22"/>
        </w:rPr>
        <w:t>HUC10160001</w:t>
      </w:r>
      <w:r w:rsidR="003A4647">
        <w:rPr>
          <w:sz w:val="22"/>
          <w:szCs w:val="22"/>
        </w:rPr>
        <w:t xml:space="preserve"> should </w:t>
      </w:r>
      <w:r>
        <w:rPr>
          <w:sz w:val="22"/>
          <w:szCs w:val="22"/>
        </w:rPr>
        <w:t>support the proposed mitigation plan</w:t>
      </w:r>
      <w:r w:rsidR="003A4647">
        <w:rPr>
          <w:sz w:val="22"/>
          <w:szCs w:val="22"/>
        </w:rPr>
        <w:t xml:space="preserve"> stormwater runoff and from spring snowmelt</w:t>
      </w:r>
      <w:r>
        <w:rPr>
          <w:sz w:val="22"/>
          <w:szCs w:val="22"/>
        </w:rPr>
        <w:t xml:space="preserve">.  </w:t>
      </w:r>
      <w:r w:rsidRPr="006763ED">
        <w:rPr>
          <w:sz w:val="22"/>
          <w:szCs w:val="22"/>
        </w:rPr>
        <w:t>Ave</w:t>
      </w:r>
      <w:r>
        <w:rPr>
          <w:sz w:val="22"/>
          <w:szCs w:val="22"/>
        </w:rPr>
        <w:t xml:space="preserve">rage annual precipitation </w:t>
      </w:r>
      <w:r w:rsidR="001E5C0C">
        <w:rPr>
          <w:sz w:val="22"/>
          <w:szCs w:val="22"/>
        </w:rPr>
        <w:t>at Jamestown, 20 miles to the south, is</w:t>
      </w:r>
      <w:r>
        <w:rPr>
          <w:sz w:val="22"/>
          <w:szCs w:val="22"/>
        </w:rPr>
        <w:t xml:space="preserve"> </w:t>
      </w:r>
      <w:r w:rsidR="001E5C0C">
        <w:rPr>
          <w:sz w:val="22"/>
          <w:szCs w:val="22"/>
        </w:rPr>
        <w:t>18.8</w:t>
      </w:r>
      <w:r>
        <w:rPr>
          <w:sz w:val="22"/>
          <w:szCs w:val="22"/>
        </w:rPr>
        <w:t xml:space="preserve"> inches.  </w:t>
      </w:r>
      <w:r w:rsidR="00EB2638">
        <w:rPr>
          <w:sz w:val="22"/>
          <w:szCs w:val="22"/>
        </w:rPr>
        <w:t xml:space="preserve">  </w:t>
      </w:r>
    </w:p>
    <w:p w:rsidR="00C1477B" w:rsidRDefault="00C1477B" w:rsidP="001E35D4">
      <w:pPr>
        <w:ind w:left="810"/>
        <w:rPr>
          <w:sz w:val="22"/>
          <w:szCs w:val="22"/>
        </w:rPr>
      </w:pPr>
    </w:p>
    <w:p w:rsidR="001E35D4" w:rsidRDefault="001E35D4" w:rsidP="00CF31D4">
      <w:pPr>
        <w:numPr>
          <w:ilvl w:val="0"/>
          <w:numId w:val="12"/>
        </w:numPr>
        <w:rPr>
          <w:sz w:val="22"/>
          <w:szCs w:val="22"/>
        </w:rPr>
      </w:pPr>
      <w:r>
        <w:rPr>
          <w:sz w:val="22"/>
          <w:szCs w:val="22"/>
        </w:rPr>
        <w:t>Soils</w:t>
      </w:r>
    </w:p>
    <w:p w:rsidR="002658C4" w:rsidRDefault="006655EC" w:rsidP="00CF31D4">
      <w:pPr>
        <w:ind w:left="1440"/>
        <w:rPr>
          <w:sz w:val="22"/>
          <w:szCs w:val="22"/>
        </w:rPr>
      </w:pPr>
      <w:r>
        <w:rPr>
          <w:sz w:val="22"/>
          <w:szCs w:val="22"/>
        </w:rPr>
        <w:t>From the NRCS Web Soil Survey, the area primarily consists of G732A – Swnoda-Barnes fine sandy loams with 0 – 3 percent slopes. The depth to restrictive feature is more than 80 inches, and the hydric rating is 2, which is 1 – 32 percent hydric components.</w:t>
      </w:r>
    </w:p>
    <w:p w:rsidR="001C71C0" w:rsidRDefault="001C71C0" w:rsidP="005845D4">
      <w:pPr>
        <w:ind w:left="810"/>
        <w:rPr>
          <w:sz w:val="22"/>
          <w:szCs w:val="22"/>
        </w:rPr>
      </w:pPr>
    </w:p>
    <w:p w:rsidR="006655EC" w:rsidRDefault="006655EC" w:rsidP="00CF31D4">
      <w:pPr>
        <w:numPr>
          <w:ilvl w:val="0"/>
          <w:numId w:val="12"/>
        </w:numPr>
        <w:rPr>
          <w:sz w:val="22"/>
          <w:szCs w:val="22"/>
        </w:rPr>
      </w:pPr>
      <w:r>
        <w:rPr>
          <w:sz w:val="22"/>
          <w:szCs w:val="22"/>
        </w:rPr>
        <w:t>Vegetation</w:t>
      </w:r>
    </w:p>
    <w:p w:rsidR="006655EC" w:rsidRDefault="006655EC" w:rsidP="00CF31D4">
      <w:pPr>
        <w:ind w:left="1440"/>
        <w:rPr>
          <w:sz w:val="22"/>
          <w:szCs w:val="22"/>
        </w:rPr>
      </w:pPr>
      <w:r>
        <w:rPr>
          <w:sz w:val="22"/>
          <w:szCs w:val="22"/>
        </w:rPr>
        <w:lastRenderedPageBreak/>
        <w:t xml:space="preserve">From the closest sampling point Pit # 1 of the Wetland delineation report, the existing Herb Stratum is 80 % </w:t>
      </w:r>
      <w:r w:rsidR="00CF31D4" w:rsidRPr="00CF31D4">
        <w:rPr>
          <w:sz w:val="22"/>
          <w:szCs w:val="22"/>
        </w:rPr>
        <w:t>smooth brome (Bromus inermis)</w:t>
      </w:r>
      <w:r w:rsidR="00CF31D4">
        <w:rPr>
          <w:sz w:val="22"/>
          <w:szCs w:val="22"/>
        </w:rPr>
        <w:t xml:space="preserve"> </w:t>
      </w:r>
      <w:r>
        <w:rPr>
          <w:sz w:val="22"/>
          <w:szCs w:val="22"/>
        </w:rPr>
        <w:t xml:space="preserve">and 20% </w:t>
      </w:r>
      <w:r w:rsidR="00CF31D4" w:rsidRPr="00CF31D4">
        <w:rPr>
          <w:sz w:val="22"/>
          <w:szCs w:val="22"/>
        </w:rPr>
        <w:t>Kentucky bluegrass (Poa pratensis)</w:t>
      </w:r>
      <w:r>
        <w:rPr>
          <w:sz w:val="22"/>
          <w:szCs w:val="22"/>
        </w:rPr>
        <w:t xml:space="preserve">. </w:t>
      </w:r>
    </w:p>
    <w:p w:rsidR="006655EC" w:rsidRDefault="006655EC" w:rsidP="005845D4">
      <w:pPr>
        <w:ind w:left="810"/>
        <w:rPr>
          <w:sz w:val="22"/>
          <w:szCs w:val="22"/>
        </w:rPr>
      </w:pPr>
    </w:p>
    <w:p w:rsidR="00236C8E" w:rsidRDefault="00236C8E" w:rsidP="005845D4">
      <w:pPr>
        <w:ind w:left="810"/>
        <w:rPr>
          <w:sz w:val="22"/>
          <w:szCs w:val="22"/>
        </w:rPr>
      </w:pPr>
    </w:p>
    <w:p w:rsidR="00236C8E" w:rsidRDefault="00503D87" w:rsidP="00ED0896">
      <w:pPr>
        <w:numPr>
          <w:ilvl w:val="0"/>
          <w:numId w:val="6"/>
        </w:numPr>
        <w:rPr>
          <w:sz w:val="22"/>
          <w:szCs w:val="22"/>
        </w:rPr>
      </w:pPr>
      <w:r w:rsidRPr="00271A75">
        <w:rPr>
          <w:b/>
          <w:sz w:val="22"/>
          <w:szCs w:val="22"/>
          <w:u w:val="single"/>
        </w:rPr>
        <w:t>DETERMINATION OF CREDITS</w:t>
      </w:r>
      <w:r w:rsidR="003E184D" w:rsidRPr="00271A75">
        <w:rPr>
          <w:sz w:val="22"/>
          <w:szCs w:val="22"/>
        </w:rPr>
        <w:t>:</w:t>
      </w:r>
      <w:r w:rsidR="00E90563" w:rsidRPr="00271A75">
        <w:rPr>
          <w:sz w:val="22"/>
          <w:szCs w:val="22"/>
        </w:rPr>
        <w:t xml:space="preserve"> </w:t>
      </w:r>
    </w:p>
    <w:p w:rsidR="00C8681C" w:rsidRDefault="009A421E" w:rsidP="00236C8E">
      <w:pPr>
        <w:ind w:left="720"/>
        <w:rPr>
          <w:sz w:val="22"/>
          <w:szCs w:val="22"/>
        </w:rPr>
      </w:pPr>
      <w:r w:rsidRPr="00271A75">
        <w:rPr>
          <w:sz w:val="22"/>
          <w:szCs w:val="22"/>
        </w:rPr>
        <w:t xml:space="preserve">Credit ratios were determined using the Wetland Mitigation Banking in North Dakota – </w:t>
      </w:r>
      <w:r w:rsidRPr="00271A75">
        <w:rPr>
          <w:i/>
          <w:sz w:val="22"/>
          <w:szCs w:val="22"/>
        </w:rPr>
        <w:t>Interagency Guidance for Mitigation Bank</w:t>
      </w:r>
      <w:r w:rsidR="00C8681C" w:rsidRPr="00271A75">
        <w:rPr>
          <w:sz w:val="22"/>
          <w:szCs w:val="22"/>
        </w:rPr>
        <w:t xml:space="preserve"> document,</w:t>
      </w:r>
      <w:r w:rsidRPr="00271A75">
        <w:rPr>
          <w:sz w:val="22"/>
          <w:szCs w:val="22"/>
        </w:rPr>
        <w:t xml:space="preserve"> </w:t>
      </w:r>
      <w:r w:rsidR="00C8681C" w:rsidRPr="00271A75">
        <w:rPr>
          <w:sz w:val="22"/>
          <w:szCs w:val="22"/>
        </w:rPr>
        <w:t>utilizing guidance that creation adjacent to the wetland impacted receives a 1:1</w:t>
      </w:r>
      <w:r w:rsidR="001C71C0">
        <w:rPr>
          <w:sz w:val="22"/>
          <w:szCs w:val="22"/>
        </w:rPr>
        <w:t xml:space="preserve"> and</w:t>
      </w:r>
      <w:r w:rsidR="00C8681C" w:rsidRPr="00271A75">
        <w:rPr>
          <w:sz w:val="22"/>
          <w:szCs w:val="22"/>
        </w:rPr>
        <w:t xml:space="preserve"> mitigation nonadjacent to the wetland impacted receives a 2:1</w:t>
      </w:r>
      <w:r w:rsidR="001C71C0">
        <w:rPr>
          <w:sz w:val="22"/>
          <w:szCs w:val="22"/>
        </w:rPr>
        <w:t>.</w:t>
      </w:r>
      <w:r w:rsidR="00C8681C" w:rsidRPr="00271A75">
        <w:rPr>
          <w:sz w:val="22"/>
          <w:szCs w:val="22"/>
        </w:rPr>
        <w:t xml:space="preserve">  The breakdown of impacts, ratios, and resulting mitigation required is below.</w:t>
      </w:r>
      <w:r w:rsidR="001C71C0">
        <w:rPr>
          <w:sz w:val="22"/>
          <w:szCs w:val="22"/>
        </w:rPr>
        <w:t xml:space="preserve">  NDODT proposed no mitigation </w:t>
      </w:r>
      <w:r w:rsidR="002F0A0A">
        <w:rPr>
          <w:sz w:val="22"/>
          <w:szCs w:val="22"/>
        </w:rPr>
        <w:t>for</w:t>
      </w:r>
      <w:r w:rsidR="001C71C0">
        <w:rPr>
          <w:sz w:val="22"/>
          <w:szCs w:val="22"/>
        </w:rPr>
        <w:t xml:space="preserve"> the artificial portion of the resource with permanent impacts greater than 0.10 acre.</w:t>
      </w:r>
    </w:p>
    <w:p w:rsidR="00271A75" w:rsidRPr="00271A75" w:rsidRDefault="00271A75" w:rsidP="00271A75">
      <w:pPr>
        <w:ind w:left="720"/>
        <w:rPr>
          <w:sz w:val="22"/>
          <w:szCs w:val="22"/>
        </w:rPr>
      </w:pPr>
    </w:p>
    <w:p w:rsidR="00C8681C" w:rsidRPr="00206CFF" w:rsidRDefault="00C8681C" w:rsidP="00C8681C">
      <w:pPr>
        <w:keepNext/>
        <w:spacing w:after="200"/>
        <w:ind w:left="720"/>
        <w:rPr>
          <w:rFonts w:ascii="Arial" w:hAnsi="Arial" w:cs="Arial"/>
          <w:b/>
          <w:bCs/>
          <w:sz w:val="22"/>
          <w:szCs w:val="22"/>
        </w:rPr>
      </w:pPr>
      <w:r w:rsidRPr="00206CFF">
        <w:rPr>
          <w:rFonts w:ascii="Arial" w:hAnsi="Arial" w:cs="Arial"/>
          <w:b/>
          <w:bCs/>
          <w:sz w:val="22"/>
          <w:szCs w:val="22"/>
        </w:rPr>
        <w:t xml:space="preserve">Table </w:t>
      </w:r>
      <w:r w:rsidRPr="00206CFF">
        <w:rPr>
          <w:rFonts w:ascii="Arial" w:hAnsi="Arial" w:cs="Arial"/>
          <w:b/>
          <w:bCs/>
          <w:sz w:val="22"/>
          <w:szCs w:val="22"/>
        </w:rPr>
        <w:fldChar w:fldCharType="begin"/>
      </w:r>
      <w:r w:rsidRPr="00206CFF">
        <w:rPr>
          <w:rFonts w:ascii="Arial" w:hAnsi="Arial" w:cs="Arial"/>
          <w:b/>
          <w:bCs/>
          <w:sz w:val="22"/>
          <w:szCs w:val="22"/>
        </w:rPr>
        <w:instrText xml:space="preserve"> SEQ Table \* ARABIC </w:instrText>
      </w:r>
      <w:r w:rsidRPr="00206CFF">
        <w:rPr>
          <w:rFonts w:ascii="Arial" w:hAnsi="Arial" w:cs="Arial"/>
          <w:b/>
          <w:bCs/>
          <w:sz w:val="22"/>
          <w:szCs w:val="22"/>
        </w:rPr>
        <w:fldChar w:fldCharType="separate"/>
      </w:r>
      <w:r w:rsidR="00DA0856">
        <w:rPr>
          <w:rFonts w:ascii="Arial" w:hAnsi="Arial" w:cs="Arial"/>
          <w:b/>
          <w:bCs/>
          <w:noProof/>
          <w:sz w:val="22"/>
          <w:szCs w:val="22"/>
        </w:rPr>
        <w:t>1</w:t>
      </w:r>
      <w:r w:rsidRPr="00206CFF">
        <w:rPr>
          <w:rFonts w:ascii="Arial" w:hAnsi="Arial" w:cs="Arial"/>
          <w:b/>
          <w:bCs/>
          <w:sz w:val="22"/>
          <w:szCs w:val="22"/>
        </w:rPr>
        <w:fldChar w:fldCharType="end"/>
      </w:r>
      <w:r w:rsidRPr="00206CFF">
        <w:rPr>
          <w:rFonts w:ascii="Arial" w:hAnsi="Arial" w:cs="Arial"/>
          <w:b/>
          <w:bCs/>
          <w:sz w:val="22"/>
          <w:szCs w:val="22"/>
        </w:rPr>
        <w:t>: Wetland Credit Ratios and Credit Calculation</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080"/>
        <w:gridCol w:w="1080"/>
        <w:gridCol w:w="1170"/>
        <w:gridCol w:w="1170"/>
        <w:gridCol w:w="1260"/>
        <w:gridCol w:w="1260"/>
        <w:gridCol w:w="1550"/>
      </w:tblGrid>
      <w:tr w:rsidR="004665ED" w:rsidRPr="00EE619C" w:rsidTr="004665ED">
        <w:trPr>
          <w:cantSplit/>
          <w:trHeight w:val="1622"/>
          <w:tblHeader/>
          <w:jc w:val="center"/>
        </w:trPr>
        <w:tc>
          <w:tcPr>
            <w:tcW w:w="1205" w:type="dxa"/>
            <w:shd w:val="clear" w:color="auto" w:fill="D9D9D9"/>
            <w:vAlign w:val="center"/>
          </w:tcPr>
          <w:p w:rsidR="00C8681C" w:rsidRPr="00E7449C" w:rsidRDefault="00C8681C" w:rsidP="00271A75">
            <w:pPr>
              <w:spacing w:after="200" w:line="288" w:lineRule="auto"/>
              <w:jc w:val="center"/>
              <w:rPr>
                <w:rFonts w:ascii="Arial" w:eastAsia="Calibri" w:hAnsi="Arial" w:cs="Arial"/>
                <w:b/>
                <w:bCs/>
                <w:color w:val="000000"/>
                <w:sz w:val="20"/>
                <w:szCs w:val="20"/>
              </w:rPr>
            </w:pPr>
            <w:r w:rsidRPr="00E7449C">
              <w:rPr>
                <w:rFonts w:ascii="Arial" w:eastAsia="Calibri" w:hAnsi="Arial" w:cs="Arial"/>
                <w:b/>
                <w:bCs/>
                <w:color w:val="000000"/>
                <w:sz w:val="20"/>
                <w:szCs w:val="20"/>
              </w:rPr>
              <w:t>Mitigation Site #</w:t>
            </w:r>
          </w:p>
        </w:tc>
        <w:tc>
          <w:tcPr>
            <w:tcW w:w="1080" w:type="dxa"/>
            <w:shd w:val="clear" w:color="auto" w:fill="D9D9D9"/>
            <w:vAlign w:val="center"/>
          </w:tcPr>
          <w:p w:rsidR="00C8681C" w:rsidRPr="00E7449C" w:rsidRDefault="00C8681C" w:rsidP="00271A75">
            <w:pPr>
              <w:spacing w:after="200" w:line="288" w:lineRule="auto"/>
              <w:jc w:val="center"/>
              <w:rPr>
                <w:rFonts w:ascii="Arial" w:eastAsia="Calibri" w:hAnsi="Arial" w:cs="Arial"/>
                <w:b/>
                <w:bCs/>
                <w:color w:val="000000"/>
                <w:sz w:val="20"/>
                <w:szCs w:val="20"/>
              </w:rPr>
            </w:pPr>
            <w:r w:rsidRPr="00E7449C">
              <w:rPr>
                <w:rFonts w:ascii="Arial" w:eastAsia="Calibri" w:hAnsi="Arial" w:cs="Arial"/>
                <w:b/>
                <w:bCs/>
                <w:color w:val="000000"/>
                <w:sz w:val="20"/>
                <w:szCs w:val="20"/>
              </w:rPr>
              <w:t>Wetland Number</w:t>
            </w:r>
          </w:p>
        </w:tc>
        <w:tc>
          <w:tcPr>
            <w:tcW w:w="1080" w:type="dxa"/>
            <w:shd w:val="clear" w:color="auto" w:fill="D9D9D9"/>
            <w:vAlign w:val="center"/>
          </w:tcPr>
          <w:p w:rsidR="00C8681C" w:rsidRPr="00E7449C" w:rsidRDefault="00C8681C" w:rsidP="00271A75">
            <w:pPr>
              <w:spacing w:after="200" w:line="288" w:lineRule="auto"/>
              <w:jc w:val="center"/>
              <w:rPr>
                <w:rFonts w:ascii="Arial" w:eastAsia="Calibri" w:hAnsi="Arial" w:cs="Arial"/>
                <w:b/>
                <w:bCs/>
                <w:color w:val="000000"/>
                <w:sz w:val="20"/>
                <w:szCs w:val="20"/>
              </w:rPr>
            </w:pPr>
            <w:r w:rsidRPr="00E7449C">
              <w:rPr>
                <w:rFonts w:ascii="Arial" w:eastAsia="Calibri" w:hAnsi="Arial" w:cs="Arial"/>
                <w:b/>
                <w:bCs/>
                <w:color w:val="000000"/>
                <w:sz w:val="20"/>
                <w:szCs w:val="20"/>
              </w:rPr>
              <w:t>Wetland Feature</w:t>
            </w:r>
          </w:p>
        </w:tc>
        <w:tc>
          <w:tcPr>
            <w:tcW w:w="1170" w:type="dxa"/>
            <w:shd w:val="clear" w:color="auto" w:fill="D9D9D9"/>
            <w:vAlign w:val="center"/>
          </w:tcPr>
          <w:p w:rsidR="00C8681C" w:rsidRPr="00E7449C" w:rsidRDefault="00C8681C" w:rsidP="00271A75">
            <w:pPr>
              <w:spacing w:after="200" w:line="288" w:lineRule="auto"/>
              <w:jc w:val="center"/>
              <w:rPr>
                <w:rFonts w:ascii="Arial" w:eastAsia="Calibri" w:hAnsi="Arial" w:cs="Arial"/>
                <w:b/>
                <w:bCs/>
                <w:color w:val="000000"/>
                <w:sz w:val="20"/>
                <w:szCs w:val="20"/>
              </w:rPr>
            </w:pPr>
            <w:r w:rsidRPr="00E7449C">
              <w:rPr>
                <w:rFonts w:ascii="Arial" w:eastAsia="Calibri" w:hAnsi="Arial" w:cs="Arial"/>
                <w:b/>
                <w:bCs/>
                <w:color w:val="000000"/>
                <w:sz w:val="20"/>
                <w:szCs w:val="20"/>
              </w:rPr>
              <w:t>Mitigation Type</w:t>
            </w:r>
          </w:p>
        </w:tc>
        <w:tc>
          <w:tcPr>
            <w:tcW w:w="1170" w:type="dxa"/>
            <w:shd w:val="clear" w:color="auto" w:fill="D9D9D9"/>
            <w:vAlign w:val="center"/>
          </w:tcPr>
          <w:p w:rsidR="00C8681C" w:rsidRPr="00E7449C" w:rsidRDefault="00C8681C" w:rsidP="00271A75">
            <w:pPr>
              <w:spacing w:after="200" w:line="288" w:lineRule="auto"/>
              <w:jc w:val="center"/>
              <w:rPr>
                <w:rFonts w:ascii="Arial" w:eastAsia="Calibri" w:hAnsi="Arial" w:cs="Arial"/>
                <w:b/>
                <w:bCs/>
                <w:color w:val="000000"/>
                <w:sz w:val="20"/>
                <w:szCs w:val="20"/>
              </w:rPr>
            </w:pPr>
            <w:r w:rsidRPr="00E7449C">
              <w:rPr>
                <w:rFonts w:ascii="Arial" w:eastAsia="Calibri" w:hAnsi="Arial" w:cs="Arial"/>
                <w:b/>
                <w:bCs/>
                <w:color w:val="000000"/>
                <w:sz w:val="20"/>
                <w:szCs w:val="20"/>
              </w:rPr>
              <w:t>Perm. Wetland Impact (acre)</w:t>
            </w:r>
          </w:p>
        </w:tc>
        <w:tc>
          <w:tcPr>
            <w:tcW w:w="1260" w:type="dxa"/>
            <w:shd w:val="clear" w:color="auto" w:fill="D9D9D9"/>
            <w:vAlign w:val="center"/>
          </w:tcPr>
          <w:p w:rsidR="00C8681C" w:rsidRPr="00E7449C" w:rsidRDefault="00C8681C" w:rsidP="00271A75">
            <w:pPr>
              <w:spacing w:after="200" w:line="288" w:lineRule="auto"/>
              <w:jc w:val="center"/>
              <w:rPr>
                <w:rFonts w:ascii="Arial" w:eastAsia="Calibri" w:hAnsi="Arial" w:cs="Arial"/>
                <w:b/>
                <w:bCs/>
                <w:color w:val="000000"/>
                <w:sz w:val="20"/>
                <w:szCs w:val="20"/>
              </w:rPr>
            </w:pPr>
            <w:r w:rsidRPr="00E7449C">
              <w:rPr>
                <w:rFonts w:ascii="Arial" w:eastAsia="Calibri" w:hAnsi="Arial" w:cs="Arial"/>
                <w:b/>
                <w:bCs/>
                <w:color w:val="000000"/>
                <w:sz w:val="20"/>
                <w:szCs w:val="20"/>
              </w:rPr>
              <w:t>Acre-Credit Ratio (location)</w:t>
            </w:r>
          </w:p>
        </w:tc>
        <w:tc>
          <w:tcPr>
            <w:tcW w:w="1260" w:type="dxa"/>
            <w:shd w:val="clear" w:color="auto" w:fill="D9D9D9"/>
            <w:vAlign w:val="center"/>
          </w:tcPr>
          <w:p w:rsidR="00C8681C" w:rsidRPr="00E7449C" w:rsidRDefault="00C8681C" w:rsidP="00271A75">
            <w:pPr>
              <w:spacing w:after="200" w:line="288" w:lineRule="auto"/>
              <w:jc w:val="center"/>
              <w:rPr>
                <w:rFonts w:ascii="Arial" w:eastAsia="Calibri" w:hAnsi="Arial" w:cs="Arial"/>
                <w:b/>
                <w:bCs/>
                <w:color w:val="000000"/>
                <w:sz w:val="20"/>
                <w:szCs w:val="20"/>
              </w:rPr>
            </w:pPr>
            <w:r w:rsidRPr="00E7449C">
              <w:rPr>
                <w:rFonts w:ascii="Arial" w:eastAsia="Calibri" w:hAnsi="Arial" w:cs="Arial"/>
                <w:b/>
                <w:bCs/>
                <w:color w:val="000000"/>
                <w:sz w:val="20"/>
                <w:szCs w:val="20"/>
              </w:rPr>
              <w:t>Mitigation after ratios for USACE Impacts (acres)</w:t>
            </w:r>
          </w:p>
        </w:tc>
        <w:tc>
          <w:tcPr>
            <w:tcW w:w="1550" w:type="dxa"/>
            <w:shd w:val="clear" w:color="auto" w:fill="D9D9D9"/>
            <w:vAlign w:val="center"/>
          </w:tcPr>
          <w:p w:rsidR="00C8681C" w:rsidRPr="00E7449C" w:rsidRDefault="00C8681C" w:rsidP="00271A75">
            <w:pPr>
              <w:spacing w:after="200" w:line="288" w:lineRule="auto"/>
              <w:jc w:val="center"/>
              <w:rPr>
                <w:rFonts w:ascii="Arial" w:eastAsia="Calibri" w:hAnsi="Arial" w:cs="Arial"/>
                <w:b/>
                <w:bCs/>
                <w:color w:val="000000"/>
                <w:sz w:val="20"/>
                <w:szCs w:val="20"/>
              </w:rPr>
            </w:pPr>
            <w:r w:rsidRPr="00E7449C">
              <w:rPr>
                <w:rFonts w:ascii="Arial" w:eastAsia="Calibri" w:hAnsi="Arial" w:cs="Arial"/>
                <w:b/>
                <w:bCs/>
                <w:color w:val="000000"/>
                <w:sz w:val="20"/>
                <w:szCs w:val="20"/>
              </w:rPr>
              <w:t>Total Constructed Onsite Mitigation (acres)</w:t>
            </w:r>
          </w:p>
        </w:tc>
      </w:tr>
      <w:tr w:rsidR="004665ED" w:rsidRPr="00E7449C" w:rsidTr="004665ED">
        <w:trPr>
          <w:cantSplit/>
          <w:trHeight w:val="612"/>
          <w:jc w:val="center"/>
        </w:trPr>
        <w:tc>
          <w:tcPr>
            <w:tcW w:w="1205" w:type="dxa"/>
            <w:shd w:val="clear" w:color="auto" w:fill="EDEDED"/>
            <w:vAlign w:val="center"/>
          </w:tcPr>
          <w:p w:rsidR="00C8681C" w:rsidRPr="00E7449C" w:rsidRDefault="00C8681C" w:rsidP="00271A75">
            <w:pPr>
              <w:spacing w:after="200" w:line="288" w:lineRule="auto"/>
              <w:jc w:val="center"/>
              <w:rPr>
                <w:rFonts w:ascii="Arial" w:eastAsia="Calibri" w:hAnsi="Arial" w:cs="Arial"/>
                <w:color w:val="000000"/>
                <w:sz w:val="20"/>
                <w:szCs w:val="20"/>
              </w:rPr>
            </w:pPr>
            <w:r w:rsidRPr="00E7449C">
              <w:rPr>
                <w:rFonts w:ascii="Arial" w:eastAsia="Calibri" w:hAnsi="Arial" w:cs="Arial"/>
                <w:color w:val="000000"/>
                <w:sz w:val="20"/>
                <w:szCs w:val="20"/>
              </w:rPr>
              <w:t>Site 1</w:t>
            </w:r>
          </w:p>
        </w:tc>
        <w:tc>
          <w:tcPr>
            <w:tcW w:w="1080" w:type="dxa"/>
            <w:shd w:val="clear" w:color="auto" w:fill="EDEDED"/>
            <w:vAlign w:val="center"/>
          </w:tcPr>
          <w:p w:rsidR="00C8681C" w:rsidRPr="00E7449C" w:rsidRDefault="00C8681C" w:rsidP="00271A75">
            <w:pPr>
              <w:spacing w:after="200" w:line="288" w:lineRule="auto"/>
              <w:jc w:val="center"/>
              <w:rPr>
                <w:rFonts w:ascii="Arial" w:eastAsia="Calibri" w:hAnsi="Arial" w:cs="Arial"/>
                <w:color w:val="000000"/>
                <w:sz w:val="20"/>
                <w:szCs w:val="20"/>
              </w:rPr>
            </w:pPr>
            <w:r w:rsidRPr="00E7449C">
              <w:rPr>
                <w:rFonts w:ascii="Arial" w:eastAsia="Calibri" w:hAnsi="Arial" w:cs="Arial"/>
                <w:color w:val="000000"/>
                <w:sz w:val="20"/>
                <w:szCs w:val="20"/>
              </w:rPr>
              <w:t>1d(c)</w:t>
            </w:r>
          </w:p>
        </w:tc>
        <w:tc>
          <w:tcPr>
            <w:tcW w:w="1080" w:type="dxa"/>
            <w:shd w:val="clear" w:color="auto" w:fill="EDEDED"/>
            <w:vAlign w:val="center"/>
          </w:tcPr>
          <w:p w:rsidR="00C8681C" w:rsidRPr="00E7449C" w:rsidRDefault="00C8681C" w:rsidP="00271A75">
            <w:pPr>
              <w:spacing w:after="200" w:line="288" w:lineRule="auto"/>
              <w:jc w:val="center"/>
              <w:rPr>
                <w:rFonts w:ascii="Arial" w:eastAsia="Calibri" w:hAnsi="Arial" w:cs="Arial"/>
                <w:color w:val="000000"/>
                <w:sz w:val="20"/>
                <w:szCs w:val="20"/>
              </w:rPr>
            </w:pPr>
            <w:r w:rsidRPr="00E7449C">
              <w:rPr>
                <w:rFonts w:ascii="Arial" w:eastAsia="Calibri" w:hAnsi="Arial" w:cs="Arial"/>
                <w:color w:val="000000"/>
                <w:sz w:val="20"/>
                <w:szCs w:val="20"/>
              </w:rPr>
              <w:t>Natural</w:t>
            </w:r>
          </w:p>
        </w:tc>
        <w:tc>
          <w:tcPr>
            <w:tcW w:w="1170" w:type="dxa"/>
            <w:shd w:val="clear" w:color="auto" w:fill="EDEDED"/>
            <w:vAlign w:val="center"/>
          </w:tcPr>
          <w:p w:rsidR="00C8681C" w:rsidRPr="00E7449C" w:rsidRDefault="00C8681C" w:rsidP="00271A75">
            <w:pPr>
              <w:spacing w:after="200" w:line="288" w:lineRule="auto"/>
              <w:jc w:val="center"/>
              <w:rPr>
                <w:rFonts w:ascii="Arial" w:eastAsia="Calibri" w:hAnsi="Arial" w:cs="Arial"/>
                <w:color w:val="000000"/>
                <w:sz w:val="20"/>
                <w:szCs w:val="20"/>
              </w:rPr>
            </w:pPr>
            <w:r w:rsidRPr="00E7449C">
              <w:rPr>
                <w:rFonts w:ascii="Arial" w:eastAsia="Calibri" w:hAnsi="Arial" w:cs="Arial"/>
                <w:color w:val="000000"/>
                <w:sz w:val="20"/>
                <w:szCs w:val="20"/>
              </w:rPr>
              <w:t>Creation Adjacent</w:t>
            </w:r>
          </w:p>
        </w:tc>
        <w:tc>
          <w:tcPr>
            <w:tcW w:w="1170" w:type="dxa"/>
            <w:shd w:val="clear" w:color="auto" w:fill="EDEDED"/>
            <w:vAlign w:val="center"/>
          </w:tcPr>
          <w:p w:rsidR="00C8681C" w:rsidRPr="00E7449C" w:rsidRDefault="00C8681C" w:rsidP="00271A75">
            <w:pPr>
              <w:spacing w:after="200" w:line="288" w:lineRule="auto"/>
              <w:jc w:val="center"/>
              <w:rPr>
                <w:rFonts w:ascii="Arial" w:eastAsia="Calibri" w:hAnsi="Arial" w:cs="Arial"/>
                <w:color w:val="000000"/>
                <w:sz w:val="20"/>
                <w:szCs w:val="20"/>
              </w:rPr>
            </w:pPr>
            <w:r w:rsidRPr="00E7449C">
              <w:rPr>
                <w:rFonts w:ascii="Arial" w:eastAsia="Calibri" w:hAnsi="Arial" w:cs="Arial"/>
                <w:color w:val="000000"/>
                <w:sz w:val="20"/>
                <w:szCs w:val="20"/>
              </w:rPr>
              <w:t>0.10</w:t>
            </w:r>
          </w:p>
        </w:tc>
        <w:tc>
          <w:tcPr>
            <w:tcW w:w="1260" w:type="dxa"/>
            <w:shd w:val="clear" w:color="auto" w:fill="EDEDED"/>
            <w:vAlign w:val="center"/>
          </w:tcPr>
          <w:p w:rsidR="00C8681C" w:rsidRPr="00E7449C" w:rsidRDefault="00C8681C" w:rsidP="00271A75">
            <w:pPr>
              <w:spacing w:after="200" w:line="288" w:lineRule="auto"/>
              <w:jc w:val="center"/>
              <w:rPr>
                <w:rFonts w:ascii="Arial" w:eastAsia="Calibri" w:hAnsi="Arial" w:cs="Arial"/>
                <w:color w:val="000000"/>
                <w:sz w:val="20"/>
                <w:szCs w:val="20"/>
              </w:rPr>
            </w:pPr>
            <w:r w:rsidRPr="00E7449C">
              <w:rPr>
                <w:rFonts w:ascii="Arial" w:eastAsia="Calibri" w:hAnsi="Arial" w:cs="Arial"/>
                <w:color w:val="000000"/>
                <w:sz w:val="20"/>
                <w:szCs w:val="20"/>
              </w:rPr>
              <w:t>1:1</w:t>
            </w:r>
          </w:p>
        </w:tc>
        <w:tc>
          <w:tcPr>
            <w:tcW w:w="1260" w:type="dxa"/>
            <w:shd w:val="clear" w:color="auto" w:fill="EDEDED"/>
            <w:vAlign w:val="center"/>
          </w:tcPr>
          <w:p w:rsidR="00C8681C" w:rsidRPr="00E7449C" w:rsidRDefault="00C8681C" w:rsidP="00271A75">
            <w:pPr>
              <w:spacing w:after="200" w:line="288" w:lineRule="auto"/>
              <w:jc w:val="center"/>
              <w:rPr>
                <w:rFonts w:ascii="Arial" w:eastAsia="Calibri" w:hAnsi="Arial" w:cs="Arial"/>
                <w:color w:val="000000"/>
                <w:sz w:val="20"/>
                <w:szCs w:val="20"/>
              </w:rPr>
            </w:pPr>
            <w:r w:rsidRPr="00E7449C">
              <w:rPr>
                <w:rFonts w:ascii="Arial" w:eastAsia="Calibri" w:hAnsi="Arial" w:cs="Arial"/>
                <w:color w:val="000000"/>
                <w:sz w:val="20"/>
                <w:szCs w:val="20"/>
              </w:rPr>
              <w:t>0.10</w:t>
            </w:r>
            <w:r w:rsidRPr="00E7449C">
              <w:rPr>
                <w:rFonts w:ascii="Arial" w:eastAsia="Calibri" w:hAnsi="Arial" w:cs="Arial"/>
                <w:color w:val="000000"/>
                <w:sz w:val="20"/>
                <w:szCs w:val="20"/>
                <w:vertAlign w:val="superscript"/>
              </w:rPr>
              <w:t>1</w:t>
            </w:r>
          </w:p>
        </w:tc>
        <w:tc>
          <w:tcPr>
            <w:tcW w:w="1550" w:type="dxa"/>
            <w:shd w:val="clear" w:color="auto" w:fill="EDEDED"/>
            <w:vAlign w:val="center"/>
          </w:tcPr>
          <w:p w:rsidR="00C8681C" w:rsidRPr="00E7449C" w:rsidRDefault="00C8681C" w:rsidP="00271A75">
            <w:pPr>
              <w:spacing w:after="200" w:line="288" w:lineRule="auto"/>
              <w:jc w:val="center"/>
              <w:rPr>
                <w:rFonts w:ascii="Arial" w:eastAsia="Calibri" w:hAnsi="Arial" w:cs="Arial"/>
                <w:color w:val="000000"/>
                <w:sz w:val="20"/>
                <w:szCs w:val="20"/>
              </w:rPr>
            </w:pPr>
            <w:r w:rsidRPr="00E7449C">
              <w:rPr>
                <w:rFonts w:ascii="Arial" w:eastAsia="Calibri" w:hAnsi="Arial" w:cs="Arial"/>
                <w:color w:val="000000"/>
                <w:sz w:val="20"/>
                <w:szCs w:val="20"/>
              </w:rPr>
              <w:t>0.14</w:t>
            </w:r>
          </w:p>
        </w:tc>
      </w:tr>
      <w:tr w:rsidR="004665ED" w:rsidRPr="00E7449C" w:rsidTr="004665ED">
        <w:trPr>
          <w:cantSplit/>
          <w:trHeight w:val="485"/>
          <w:jc w:val="center"/>
        </w:trPr>
        <w:tc>
          <w:tcPr>
            <w:tcW w:w="1205" w:type="dxa"/>
            <w:tcBorders>
              <w:top w:val="nil"/>
              <w:left w:val="nil"/>
              <w:bottom w:val="nil"/>
              <w:right w:val="nil"/>
            </w:tcBorders>
            <w:shd w:val="clear" w:color="auto" w:fill="FFFFFF"/>
            <w:vAlign w:val="center"/>
          </w:tcPr>
          <w:p w:rsidR="00C8681C" w:rsidRPr="00E7449C" w:rsidRDefault="00C8681C" w:rsidP="00271A75">
            <w:pPr>
              <w:spacing w:after="200" w:line="288" w:lineRule="auto"/>
              <w:jc w:val="center"/>
              <w:rPr>
                <w:rFonts w:ascii="Arial" w:eastAsia="Calibri" w:hAnsi="Arial" w:cs="Arial"/>
                <w:color w:val="000000"/>
                <w:sz w:val="20"/>
                <w:szCs w:val="20"/>
              </w:rPr>
            </w:pPr>
          </w:p>
        </w:tc>
        <w:tc>
          <w:tcPr>
            <w:tcW w:w="1080" w:type="dxa"/>
            <w:tcBorders>
              <w:top w:val="nil"/>
              <w:left w:val="nil"/>
              <w:bottom w:val="nil"/>
              <w:right w:val="nil"/>
            </w:tcBorders>
            <w:shd w:val="clear" w:color="auto" w:fill="FFFFFF"/>
            <w:vAlign w:val="center"/>
          </w:tcPr>
          <w:p w:rsidR="00C8681C" w:rsidRPr="00E7449C" w:rsidRDefault="00C8681C" w:rsidP="00271A75">
            <w:pPr>
              <w:spacing w:after="200" w:line="288" w:lineRule="auto"/>
              <w:jc w:val="center"/>
              <w:rPr>
                <w:rFonts w:ascii="Arial" w:eastAsia="Calibri" w:hAnsi="Arial" w:cs="Arial"/>
                <w:color w:val="000000"/>
                <w:sz w:val="20"/>
                <w:szCs w:val="20"/>
              </w:rPr>
            </w:pPr>
          </w:p>
        </w:tc>
        <w:tc>
          <w:tcPr>
            <w:tcW w:w="1080" w:type="dxa"/>
            <w:tcBorders>
              <w:top w:val="nil"/>
              <w:left w:val="nil"/>
              <w:bottom w:val="nil"/>
              <w:right w:val="single" w:sz="8" w:space="0" w:color="auto"/>
            </w:tcBorders>
            <w:shd w:val="clear" w:color="auto" w:fill="FFFFFF"/>
            <w:vAlign w:val="center"/>
          </w:tcPr>
          <w:p w:rsidR="00C8681C" w:rsidRPr="00E7449C" w:rsidRDefault="00C8681C" w:rsidP="00271A75">
            <w:pPr>
              <w:spacing w:after="200" w:line="288" w:lineRule="auto"/>
              <w:jc w:val="center"/>
              <w:rPr>
                <w:rFonts w:ascii="Arial" w:eastAsia="Calibri" w:hAnsi="Arial" w:cs="Arial"/>
                <w:color w:val="000000"/>
                <w:sz w:val="20"/>
                <w:szCs w:val="20"/>
              </w:rPr>
            </w:pPr>
          </w:p>
        </w:tc>
        <w:tc>
          <w:tcPr>
            <w:tcW w:w="1170" w:type="dxa"/>
            <w:tcBorders>
              <w:top w:val="single" w:sz="8" w:space="0" w:color="auto"/>
              <w:left w:val="single" w:sz="8" w:space="0" w:color="auto"/>
              <w:bottom w:val="single" w:sz="8" w:space="0" w:color="auto"/>
              <w:right w:val="single" w:sz="8" w:space="0" w:color="auto"/>
            </w:tcBorders>
            <w:shd w:val="clear" w:color="auto" w:fill="FFFFFF"/>
            <w:vAlign w:val="center"/>
          </w:tcPr>
          <w:p w:rsidR="00C8681C" w:rsidRPr="00E7449C" w:rsidRDefault="00C8681C" w:rsidP="00271A75">
            <w:pPr>
              <w:spacing w:after="200" w:line="288" w:lineRule="auto"/>
              <w:jc w:val="center"/>
              <w:rPr>
                <w:rFonts w:ascii="Arial" w:eastAsia="Calibri" w:hAnsi="Arial" w:cs="Arial"/>
                <w:b/>
                <w:bCs/>
                <w:color w:val="000000"/>
                <w:sz w:val="20"/>
                <w:szCs w:val="20"/>
              </w:rPr>
            </w:pPr>
            <w:r w:rsidRPr="00E7449C">
              <w:rPr>
                <w:rFonts w:ascii="Arial" w:eastAsia="Calibri" w:hAnsi="Arial" w:cs="Arial"/>
                <w:b/>
                <w:bCs/>
                <w:color w:val="000000"/>
                <w:sz w:val="20"/>
                <w:szCs w:val="20"/>
              </w:rPr>
              <w:t>Totals</w:t>
            </w:r>
          </w:p>
        </w:tc>
        <w:tc>
          <w:tcPr>
            <w:tcW w:w="1170" w:type="dxa"/>
            <w:tcBorders>
              <w:top w:val="single" w:sz="8" w:space="0" w:color="auto"/>
              <w:left w:val="single" w:sz="8" w:space="0" w:color="auto"/>
            </w:tcBorders>
            <w:shd w:val="clear" w:color="auto" w:fill="FFFFFF"/>
            <w:vAlign w:val="center"/>
          </w:tcPr>
          <w:p w:rsidR="00C8681C" w:rsidRPr="00E7449C" w:rsidRDefault="00C8681C" w:rsidP="00271A75">
            <w:pPr>
              <w:spacing w:after="200" w:line="288" w:lineRule="auto"/>
              <w:jc w:val="center"/>
              <w:rPr>
                <w:rFonts w:ascii="Arial" w:eastAsia="Calibri" w:hAnsi="Arial" w:cs="Arial"/>
                <w:b/>
                <w:bCs/>
                <w:color w:val="000000"/>
                <w:sz w:val="20"/>
                <w:szCs w:val="20"/>
              </w:rPr>
            </w:pPr>
            <w:r w:rsidRPr="00E7449C">
              <w:rPr>
                <w:rFonts w:ascii="Arial" w:eastAsia="Calibri" w:hAnsi="Arial" w:cs="Arial"/>
                <w:b/>
                <w:bCs/>
                <w:color w:val="000000"/>
                <w:sz w:val="20"/>
                <w:szCs w:val="20"/>
              </w:rPr>
              <w:t>0.10</w:t>
            </w:r>
          </w:p>
        </w:tc>
        <w:tc>
          <w:tcPr>
            <w:tcW w:w="1260" w:type="dxa"/>
            <w:tcBorders>
              <w:top w:val="single" w:sz="8" w:space="0" w:color="auto"/>
            </w:tcBorders>
            <w:shd w:val="clear" w:color="auto" w:fill="FFFFFF"/>
            <w:vAlign w:val="bottom"/>
          </w:tcPr>
          <w:p w:rsidR="00C8681C" w:rsidRPr="00E7449C" w:rsidRDefault="00C8681C" w:rsidP="00271A75">
            <w:pPr>
              <w:spacing w:after="200" w:line="288" w:lineRule="auto"/>
              <w:rPr>
                <w:rFonts w:ascii="Arial" w:eastAsia="Calibri" w:hAnsi="Arial" w:cs="Arial"/>
                <w:color w:val="000000"/>
                <w:sz w:val="20"/>
                <w:szCs w:val="20"/>
              </w:rPr>
            </w:pPr>
          </w:p>
        </w:tc>
        <w:tc>
          <w:tcPr>
            <w:tcW w:w="1260" w:type="dxa"/>
            <w:tcBorders>
              <w:top w:val="single" w:sz="8" w:space="0" w:color="auto"/>
            </w:tcBorders>
            <w:shd w:val="clear" w:color="auto" w:fill="FFFFFF"/>
            <w:vAlign w:val="center"/>
          </w:tcPr>
          <w:p w:rsidR="00C8681C" w:rsidRPr="00E7449C" w:rsidRDefault="00C8681C" w:rsidP="00271A75">
            <w:pPr>
              <w:spacing w:after="200" w:line="288" w:lineRule="auto"/>
              <w:jc w:val="center"/>
              <w:rPr>
                <w:rFonts w:ascii="Arial" w:eastAsia="Calibri" w:hAnsi="Arial" w:cs="Arial"/>
                <w:b/>
                <w:bCs/>
                <w:color w:val="000000"/>
                <w:sz w:val="20"/>
                <w:szCs w:val="20"/>
              </w:rPr>
            </w:pPr>
            <w:r w:rsidRPr="00E7449C">
              <w:rPr>
                <w:rFonts w:ascii="Arial" w:eastAsia="Calibri" w:hAnsi="Arial" w:cs="Arial"/>
                <w:b/>
                <w:bCs/>
                <w:color w:val="000000"/>
                <w:sz w:val="20"/>
                <w:szCs w:val="20"/>
              </w:rPr>
              <w:t>0.10</w:t>
            </w:r>
          </w:p>
        </w:tc>
        <w:tc>
          <w:tcPr>
            <w:tcW w:w="1550" w:type="dxa"/>
            <w:tcBorders>
              <w:top w:val="single" w:sz="8" w:space="0" w:color="auto"/>
            </w:tcBorders>
            <w:shd w:val="clear" w:color="auto" w:fill="FFFFFF"/>
            <w:vAlign w:val="center"/>
          </w:tcPr>
          <w:p w:rsidR="00C8681C" w:rsidRPr="00E7449C" w:rsidRDefault="00C8681C" w:rsidP="00271A75">
            <w:pPr>
              <w:spacing w:after="200" w:line="288" w:lineRule="auto"/>
              <w:jc w:val="center"/>
              <w:rPr>
                <w:rFonts w:ascii="Arial" w:eastAsia="Calibri" w:hAnsi="Arial" w:cs="Arial"/>
                <w:b/>
                <w:bCs/>
                <w:color w:val="000000"/>
                <w:sz w:val="20"/>
                <w:szCs w:val="20"/>
              </w:rPr>
            </w:pPr>
            <w:r w:rsidRPr="00E7449C">
              <w:rPr>
                <w:rFonts w:ascii="Arial" w:eastAsia="Calibri" w:hAnsi="Arial" w:cs="Arial"/>
                <w:b/>
                <w:bCs/>
                <w:color w:val="000000"/>
                <w:sz w:val="20"/>
                <w:szCs w:val="20"/>
              </w:rPr>
              <w:t>0.14</w:t>
            </w:r>
          </w:p>
        </w:tc>
      </w:tr>
    </w:tbl>
    <w:p w:rsidR="00271A75" w:rsidRPr="00C8681C" w:rsidRDefault="00271A75" w:rsidP="00271A75">
      <w:pPr>
        <w:ind w:left="360"/>
        <w:rPr>
          <w:sz w:val="22"/>
          <w:szCs w:val="22"/>
        </w:rPr>
      </w:pPr>
      <w:r w:rsidRPr="00206CFF">
        <w:rPr>
          <w:rFonts w:ascii="Arial" w:hAnsi="Arial" w:cs="Arial"/>
          <w:bCs/>
          <w:sz w:val="22"/>
          <w:szCs w:val="22"/>
          <w:vertAlign w:val="superscript"/>
        </w:rPr>
        <w:t>1</w:t>
      </w:r>
      <w:r w:rsidRPr="00206CFF">
        <w:rPr>
          <w:rFonts w:ascii="Arial" w:hAnsi="Arial" w:cs="Arial"/>
          <w:bCs/>
          <w:sz w:val="22"/>
          <w:szCs w:val="22"/>
        </w:rPr>
        <w:t xml:space="preserve"> Mitigation for the natural portion where cumulative</w:t>
      </w:r>
      <w:r w:rsidR="002F0A0A">
        <w:rPr>
          <w:rFonts w:ascii="Arial" w:hAnsi="Arial" w:cs="Arial"/>
          <w:bCs/>
          <w:sz w:val="22"/>
          <w:szCs w:val="22"/>
        </w:rPr>
        <w:t xml:space="preserve"> permanent</w:t>
      </w:r>
      <w:r w:rsidRPr="00206CFF">
        <w:rPr>
          <w:rFonts w:ascii="Arial" w:hAnsi="Arial" w:cs="Arial"/>
          <w:bCs/>
          <w:sz w:val="22"/>
          <w:szCs w:val="22"/>
        </w:rPr>
        <w:t xml:space="preserve"> impact to the resource was greater than 0.10 acre.</w:t>
      </w:r>
    </w:p>
    <w:p w:rsidR="00271A75" w:rsidRDefault="00271A75">
      <w:pPr>
        <w:rPr>
          <w:sz w:val="22"/>
          <w:szCs w:val="22"/>
          <w:highlight w:val="yellow"/>
        </w:rPr>
      </w:pPr>
    </w:p>
    <w:p w:rsidR="00236C8E" w:rsidRPr="0067180E" w:rsidRDefault="00236C8E">
      <w:pPr>
        <w:rPr>
          <w:sz w:val="22"/>
          <w:szCs w:val="22"/>
          <w:highlight w:val="yellow"/>
        </w:rPr>
      </w:pPr>
    </w:p>
    <w:p w:rsidR="00236C8E" w:rsidRDefault="00503D87" w:rsidP="004665ED">
      <w:pPr>
        <w:numPr>
          <w:ilvl w:val="0"/>
          <w:numId w:val="6"/>
        </w:numPr>
        <w:rPr>
          <w:sz w:val="22"/>
          <w:szCs w:val="22"/>
        </w:rPr>
      </w:pPr>
      <w:r w:rsidRPr="00FB73B7">
        <w:rPr>
          <w:b/>
          <w:sz w:val="22"/>
          <w:szCs w:val="22"/>
          <w:u w:val="single"/>
        </w:rPr>
        <w:t>MITIGATION WORK PLAN</w:t>
      </w:r>
      <w:r w:rsidR="003E184D" w:rsidRPr="00FB73B7">
        <w:rPr>
          <w:sz w:val="22"/>
          <w:szCs w:val="22"/>
        </w:rPr>
        <w:t>:</w:t>
      </w:r>
      <w:r w:rsidR="002F0A0A">
        <w:rPr>
          <w:sz w:val="22"/>
          <w:szCs w:val="22"/>
        </w:rPr>
        <w:t xml:space="preserve"> </w:t>
      </w:r>
      <w:r w:rsidR="00B00BBC" w:rsidRPr="00FB73B7">
        <w:rPr>
          <w:sz w:val="22"/>
          <w:szCs w:val="22"/>
        </w:rPr>
        <w:t xml:space="preserve"> </w:t>
      </w:r>
    </w:p>
    <w:p w:rsidR="00434FE6" w:rsidRDefault="002F0A0A" w:rsidP="00D1034E">
      <w:pPr>
        <w:ind w:left="720"/>
        <w:rPr>
          <w:sz w:val="22"/>
          <w:szCs w:val="22"/>
        </w:rPr>
      </w:pPr>
      <w:r w:rsidRPr="00FF5475">
        <w:rPr>
          <w:sz w:val="22"/>
          <w:szCs w:val="22"/>
        </w:rPr>
        <w:t xml:space="preserve">Site 1 will be constructed by excavating and grading upland to a variable depth up to 2 feet maximum depth depressional area adjacent to the existing wetlands 6 and totaling 1.61 acres (1.59 acre required for the USACE).  The site will be over excavated by 6 inches </w:t>
      </w:r>
      <w:r w:rsidR="00FF5475" w:rsidRPr="00FF5475">
        <w:rPr>
          <w:sz w:val="22"/>
          <w:szCs w:val="22"/>
        </w:rPr>
        <w:t xml:space="preserve">to a final elevation of 1449.70 feet </w:t>
      </w:r>
      <w:r w:rsidRPr="00FF5475">
        <w:rPr>
          <w:sz w:val="22"/>
          <w:szCs w:val="22"/>
        </w:rPr>
        <w:t xml:space="preserve">and will be graded with a </w:t>
      </w:r>
      <w:r w:rsidR="00FF5475" w:rsidRPr="00FF5475">
        <w:rPr>
          <w:sz w:val="22"/>
          <w:szCs w:val="22"/>
        </w:rPr>
        <w:t>4</w:t>
      </w:r>
      <w:r w:rsidRPr="00FF5475">
        <w:rPr>
          <w:sz w:val="22"/>
          <w:szCs w:val="22"/>
        </w:rPr>
        <w:t>:1 transition</w:t>
      </w:r>
      <w:r w:rsidR="00434FE6">
        <w:rPr>
          <w:sz w:val="22"/>
          <w:szCs w:val="22"/>
        </w:rPr>
        <w:t>, not included in the mitigation acreage,</w:t>
      </w:r>
      <w:r w:rsidRPr="00FF5475">
        <w:rPr>
          <w:sz w:val="22"/>
          <w:szCs w:val="22"/>
        </w:rPr>
        <w:t xml:space="preserve"> from the final 2 foot depth to the existing grade and contours of the adjacent uplands surrounding the mitigation site.  </w:t>
      </w:r>
      <w:r w:rsidR="00E3370C" w:rsidRPr="00FB73B7">
        <w:rPr>
          <w:sz w:val="22"/>
          <w:szCs w:val="22"/>
        </w:rPr>
        <w:t>The work will be started in the summer of 201</w:t>
      </w:r>
      <w:r w:rsidR="00FB73B7" w:rsidRPr="00FB73B7">
        <w:rPr>
          <w:sz w:val="22"/>
          <w:szCs w:val="22"/>
        </w:rPr>
        <w:t>7</w:t>
      </w:r>
      <w:r w:rsidR="00E3370C" w:rsidRPr="00FB73B7">
        <w:rPr>
          <w:sz w:val="22"/>
          <w:szCs w:val="22"/>
        </w:rPr>
        <w:t xml:space="preserve"> and </w:t>
      </w:r>
      <w:r>
        <w:rPr>
          <w:sz w:val="22"/>
          <w:szCs w:val="22"/>
        </w:rPr>
        <w:t xml:space="preserve">anticipated to be </w:t>
      </w:r>
      <w:r w:rsidR="00E3370C" w:rsidRPr="00FB73B7">
        <w:rPr>
          <w:sz w:val="22"/>
          <w:szCs w:val="22"/>
        </w:rPr>
        <w:t xml:space="preserve">completed by the end of </w:t>
      </w:r>
      <w:r w:rsidR="00461F7E" w:rsidRPr="00FB73B7">
        <w:rPr>
          <w:sz w:val="22"/>
          <w:szCs w:val="22"/>
        </w:rPr>
        <w:t>Novem</w:t>
      </w:r>
      <w:r w:rsidR="00E3370C" w:rsidRPr="00FB73B7">
        <w:rPr>
          <w:sz w:val="22"/>
          <w:szCs w:val="22"/>
        </w:rPr>
        <w:t xml:space="preserve">ber. </w:t>
      </w:r>
      <w:r w:rsidR="001C71C0">
        <w:rPr>
          <w:sz w:val="22"/>
          <w:szCs w:val="22"/>
        </w:rPr>
        <w:t xml:space="preserve">Hydrology </w:t>
      </w:r>
      <w:r w:rsidR="00E3370C" w:rsidRPr="00FB73B7">
        <w:rPr>
          <w:sz w:val="22"/>
          <w:szCs w:val="22"/>
        </w:rPr>
        <w:t>will be obtained from the adjacent wetlands</w:t>
      </w:r>
      <w:r w:rsidR="00461F7E" w:rsidRPr="00FB73B7">
        <w:rPr>
          <w:sz w:val="22"/>
          <w:szCs w:val="22"/>
        </w:rPr>
        <w:t>, road ditches</w:t>
      </w:r>
      <w:r w:rsidR="001C71C0">
        <w:rPr>
          <w:sz w:val="22"/>
          <w:szCs w:val="22"/>
        </w:rPr>
        <w:t>,</w:t>
      </w:r>
      <w:r w:rsidR="00461F7E" w:rsidRPr="00FB73B7">
        <w:rPr>
          <w:sz w:val="22"/>
          <w:szCs w:val="22"/>
        </w:rPr>
        <w:t xml:space="preserve"> </w:t>
      </w:r>
      <w:r w:rsidR="00D1034E">
        <w:rPr>
          <w:sz w:val="22"/>
          <w:szCs w:val="22"/>
        </w:rPr>
        <w:t>and water table</w:t>
      </w:r>
      <w:r w:rsidR="00E3370C" w:rsidRPr="00FB73B7">
        <w:rPr>
          <w:sz w:val="22"/>
          <w:szCs w:val="22"/>
        </w:rPr>
        <w:t xml:space="preserve">. </w:t>
      </w:r>
      <w:r w:rsidR="001C71C0">
        <w:rPr>
          <w:sz w:val="22"/>
          <w:szCs w:val="22"/>
        </w:rPr>
        <w:t>The wetland mitigation site will be</w:t>
      </w:r>
      <w:r w:rsidR="00D1034E">
        <w:rPr>
          <w:sz w:val="22"/>
          <w:szCs w:val="22"/>
        </w:rPr>
        <w:t xml:space="preserve"> seeded with the following wetland seed </w:t>
      </w:r>
      <w:r w:rsidR="00434FE6">
        <w:rPr>
          <w:sz w:val="22"/>
          <w:szCs w:val="22"/>
        </w:rPr>
        <w:t>mix.</w:t>
      </w:r>
    </w:p>
    <w:p w:rsidR="00434FE6" w:rsidRDefault="00434FE6" w:rsidP="00D1034E">
      <w:pPr>
        <w:ind w:left="720"/>
        <w:rPr>
          <w:sz w:val="22"/>
          <w:szCs w:val="22"/>
        </w:rPr>
      </w:pPr>
    </w:p>
    <w:p w:rsidR="00434FE6" w:rsidRDefault="00DA0856" w:rsidP="00D1034E">
      <w:pPr>
        <w:ind w:left="720"/>
        <w:rPr>
          <w:sz w:val="22"/>
          <w:szCs w:val="22"/>
        </w:rPr>
      </w:pPr>
      <w:bookmarkStart w:id="0" w:name="_GoBack"/>
      <w:bookmarkEnd w:id="0"/>
      <w:r>
        <w:rPr>
          <w:noProof/>
          <w:sz w:val="22"/>
          <w:szCs w:val="22"/>
        </w:rPr>
        <w:drawing>
          <wp:inline distT="0" distB="0" distL="0" distR="0">
            <wp:extent cx="4743450" cy="2819400"/>
            <wp:effectExtent l="0" t="0" r="0" b="0"/>
            <wp:docPr id="10" name="Picture 10" descr="F:\ETS\Engineering and Environmental Section\WETLANDS\WETLAND MANUAL\ETS Wetland Manual\2017 Manual Update\Update Request\Appendix C\fullsupplementalspecswith1001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ETS\Engineering and Environmental Section\WETLANDS\WETLAND MANUAL\ETS Wetland Manual\2017 Manual Update\Update Request\Appendix C\fullsupplementalspecswith10012016.jpg"/>
                    <pic:cNvPicPr>
                      <a:picLocks noChangeAspect="1" noChangeArrowheads="1"/>
                    </pic:cNvPicPr>
                  </pic:nvPicPr>
                  <pic:blipFill>
                    <a:blip r:embed="rId8" cstate="print">
                      <a:extLst>
                        <a:ext uri="{28A0092B-C50C-407E-A947-70E740481C1C}">
                          <a14:useLocalDpi xmlns:a14="http://schemas.microsoft.com/office/drawing/2010/main" val="0"/>
                        </a:ext>
                      </a:extLst>
                    </a:blip>
                    <a:srcRect t="4926"/>
                    <a:stretch>
                      <a:fillRect/>
                    </a:stretch>
                  </pic:blipFill>
                  <pic:spPr bwMode="auto">
                    <a:xfrm>
                      <a:off x="0" y="0"/>
                      <a:ext cx="4743450" cy="2819400"/>
                    </a:xfrm>
                    <a:prstGeom prst="rect">
                      <a:avLst/>
                    </a:prstGeom>
                    <a:noFill/>
                    <a:ln>
                      <a:noFill/>
                    </a:ln>
                  </pic:spPr>
                </pic:pic>
              </a:graphicData>
            </a:graphic>
          </wp:inline>
        </w:drawing>
      </w:r>
    </w:p>
    <w:p w:rsidR="00434FE6" w:rsidRDefault="00434FE6" w:rsidP="00D1034E">
      <w:pPr>
        <w:ind w:left="720"/>
        <w:rPr>
          <w:sz w:val="22"/>
          <w:szCs w:val="22"/>
        </w:rPr>
      </w:pPr>
    </w:p>
    <w:p w:rsidR="00D1034E" w:rsidRDefault="00D1034E" w:rsidP="00D1034E">
      <w:pPr>
        <w:ind w:left="720"/>
        <w:rPr>
          <w:sz w:val="22"/>
          <w:szCs w:val="22"/>
        </w:rPr>
      </w:pPr>
    </w:p>
    <w:p w:rsidR="009A421E" w:rsidRDefault="009A421E" w:rsidP="00D1034E">
      <w:pPr>
        <w:ind w:left="720"/>
        <w:rPr>
          <w:sz w:val="22"/>
          <w:szCs w:val="22"/>
        </w:rPr>
      </w:pPr>
      <w:r w:rsidRPr="00D1034E">
        <w:rPr>
          <w:sz w:val="22"/>
          <w:szCs w:val="22"/>
        </w:rPr>
        <w:t xml:space="preserve">BMPs will be installed to prevent erosion and sedimentation within the site.  All BMPs will be removed from the mitigation site upon the establishment of vegetative cover.  After completion of the mitigation site designated photo points will be developed.  Monitoring reports will be provided yearly until success criteria are met.  As-built plans will be submitted to the USACE only if changes in the design plan occur. </w:t>
      </w:r>
    </w:p>
    <w:p w:rsidR="001C71C0" w:rsidRPr="00D1034E" w:rsidRDefault="001C71C0" w:rsidP="00D1034E">
      <w:pPr>
        <w:ind w:left="720"/>
        <w:rPr>
          <w:sz w:val="22"/>
          <w:szCs w:val="22"/>
        </w:rPr>
      </w:pPr>
    </w:p>
    <w:p w:rsidR="00236C8E" w:rsidRDefault="00503D87" w:rsidP="00C8681C">
      <w:pPr>
        <w:numPr>
          <w:ilvl w:val="0"/>
          <w:numId w:val="6"/>
        </w:numPr>
        <w:rPr>
          <w:sz w:val="22"/>
          <w:szCs w:val="22"/>
        </w:rPr>
      </w:pPr>
      <w:r w:rsidRPr="00FB73B7">
        <w:rPr>
          <w:b/>
          <w:sz w:val="22"/>
          <w:szCs w:val="22"/>
          <w:u w:val="single"/>
        </w:rPr>
        <w:t>MAINTENANCE PLAN</w:t>
      </w:r>
      <w:r w:rsidR="003E184D" w:rsidRPr="00FB73B7">
        <w:rPr>
          <w:sz w:val="22"/>
          <w:szCs w:val="22"/>
        </w:rPr>
        <w:t xml:space="preserve">: </w:t>
      </w:r>
    </w:p>
    <w:p w:rsidR="009A421E" w:rsidRPr="009A421E" w:rsidRDefault="00C8681C" w:rsidP="00236C8E">
      <w:pPr>
        <w:ind w:left="720"/>
        <w:rPr>
          <w:sz w:val="22"/>
          <w:szCs w:val="22"/>
        </w:rPr>
      </w:pPr>
      <w:r w:rsidRPr="00C8681C">
        <w:rPr>
          <w:sz w:val="22"/>
          <w:szCs w:val="22"/>
        </w:rPr>
        <w:t>The site will be maintained along with the adjacent road right of way.  This section of highway is mowed periodically from the edge of pavement to the toe slope of the road grade by NDDOT maintenance staff.  The balance of the right of way may be hayed by the adjacent landowner.  No haying restrictions will be placed on this site.  Noxious weeds will be controlled by NDDOT staff or a certified applicator.  The site will be maintained to meet the success criteria outlined in the performance standards.</w:t>
      </w:r>
    </w:p>
    <w:p w:rsidR="00503D87" w:rsidRDefault="00503D87">
      <w:pPr>
        <w:rPr>
          <w:sz w:val="22"/>
          <w:szCs w:val="22"/>
        </w:rPr>
      </w:pPr>
    </w:p>
    <w:p w:rsidR="00236C8E" w:rsidRDefault="00236C8E">
      <w:pPr>
        <w:rPr>
          <w:sz w:val="22"/>
          <w:szCs w:val="22"/>
        </w:rPr>
      </w:pPr>
    </w:p>
    <w:p w:rsidR="00271A75" w:rsidRDefault="00271A75" w:rsidP="00271A75">
      <w:pPr>
        <w:numPr>
          <w:ilvl w:val="0"/>
          <w:numId w:val="6"/>
        </w:numPr>
        <w:rPr>
          <w:sz w:val="22"/>
          <w:szCs w:val="22"/>
        </w:rPr>
      </w:pPr>
      <w:r w:rsidRPr="00FB73B7">
        <w:rPr>
          <w:b/>
          <w:sz w:val="22"/>
          <w:szCs w:val="22"/>
          <w:u w:val="single"/>
        </w:rPr>
        <w:t>PERFORMANCE STANDARDS</w:t>
      </w:r>
      <w:r w:rsidRPr="00FB73B7">
        <w:rPr>
          <w:sz w:val="22"/>
          <w:szCs w:val="22"/>
        </w:rPr>
        <w:t xml:space="preserve">:  </w:t>
      </w:r>
    </w:p>
    <w:p w:rsidR="00271A75" w:rsidRPr="00C8681C" w:rsidRDefault="00271A75" w:rsidP="00271A75">
      <w:pPr>
        <w:ind w:left="720"/>
        <w:rPr>
          <w:sz w:val="22"/>
          <w:szCs w:val="22"/>
        </w:rPr>
      </w:pPr>
      <w:r w:rsidRPr="00C8681C">
        <w:rPr>
          <w:sz w:val="22"/>
          <w:szCs w:val="22"/>
        </w:rPr>
        <w:t>Wetland – Success criteria will be met when hydrology exists at the site for sufficient time periods to support a prevalence of vegetation typically adapted for life in saturated soil conditions.  Performance standards are met when the mitigation meets wetland criteria for hydrology and hydrophytic vegetation as defined in the 1987 Corps of Engineers Wetland Delineation Manual and Great Plains Regional Supplement (Version 2.0).</w:t>
      </w:r>
      <w:r>
        <w:rPr>
          <w:sz w:val="22"/>
          <w:szCs w:val="22"/>
        </w:rPr>
        <w:t xml:space="preserve">  </w:t>
      </w:r>
      <w:r w:rsidRPr="00363DBE">
        <w:rPr>
          <w:sz w:val="22"/>
          <w:szCs w:val="22"/>
        </w:rPr>
        <w:t>Once hydrology and hydrophytic vegetation performance standards are met, this serves to confirm that the soil is forming under conditions of saturation, flooding, or ponding long enough during the growing season to develop anaerobic conditions in the upper part.</w:t>
      </w:r>
    </w:p>
    <w:p w:rsidR="00271A75" w:rsidRPr="00C8681C" w:rsidRDefault="00271A75" w:rsidP="00271A75">
      <w:pPr>
        <w:ind w:left="720"/>
        <w:rPr>
          <w:sz w:val="22"/>
          <w:szCs w:val="22"/>
        </w:rPr>
      </w:pPr>
    </w:p>
    <w:p w:rsidR="00271A75" w:rsidRPr="00FB73B7" w:rsidRDefault="00271A75" w:rsidP="00271A75">
      <w:pPr>
        <w:ind w:left="720"/>
        <w:rPr>
          <w:sz w:val="22"/>
          <w:szCs w:val="22"/>
        </w:rPr>
      </w:pPr>
      <w:r w:rsidRPr="00C8681C">
        <w:rPr>
          <w:sz w:val="22"/>
          <w:szCs w:val="22"/>
        </w:rPr>
        <w:t>Buffer – No buffer credits are proposed due to ROW restrictions at this location; however, all disturbed terrestrial areas will be reestablished with permanent native grass cover, as described in the mitigation work plan above.  No buffer performance standards are necessary.</w:t>
      </w:r>
    </w:p>
    <w:p w:rsidR="00271A75" w:rsidRDefault="00271A75" w:rsidP="00271A75">
      <w:pPr>
        <w:rPr>
          <w:sz w:val="22"/>
          <w:szCs w:val="22"/>
        </w:rPr>
      </w:pPr>
    </w:p>
    <w:p w:rsidR="00236C8E" w:rsidRDefault="00236C8E" w:rsidP="00271A75">
      <w:pPr>
        <w:rPr>
          <w:sz w:val="22"/>
          <w:szCs w:val="22"/>
        </w:rPr>
      </w:pPr>
    </w:p>
    <w:p w:rsidR="00271A75" w:rsidRDefault="00271A75" w:rsidP="00271A75">
      <w:pPr>
        <w:numPr>
          <w:ilvl w:val="0"/>
          <w:numId w:val="6"/>
        </w:numPr>
        <w:rPr>
          <w:sz w:val="22"/>
          <w:szCs w:val="22"/>
        </w:rPr>
      </w:pPr>
      <w:r w:rsidRPr="00FB73B7">
        <w:rPr>
          <w:b/>
          <w:sz w:val="22"/>
          <w:szCs w:val="22"/>
          <w:u w:val="single"/>
        </w:rPr>
        <w:t>MONITORING REQUIREMENTS</w:t>
      </w:r>
      <w:r w:rsidRPr="00FB73B7">
        <w:rPr>
          <w:sz w:val="22"/>
          <w:szCs w:val="22"/>
        </w:rPr>
        <w:t xml:space="preserve">: </w:t>
      </w:r>
    </w:p>
    <w:p w:rsidR="00271A75" w:rsidRPr="00624399" w:rsidRDefault="00271A75" w:rsidP="00271A75">
      <w:pPr>
        <w:ind w:left="720"/>
        <w:rPr>
          <w:sz w:val="22"/>
          <w:szCs w:val="22"/>
        </w:rPr>
      </w:pPr>
    </w:p>
    <w:p w:rsidR="00271A75" w:rsidRPr="00624399" w:rsidRDefault="00271A75" w:rsidP="00271A75">
      <w:pPr>
        <w:numPr>
          <w:ilvl w:val="0"/>
          <w:numId w:val="1"/>
        </w:numPr>
        <w:rPr>
          <w:sz w:val="22"/>
          <w:szCs w:val="22"/>
        </w:rPr>
      </w:pPr>
      <w:r w:rsidRPr="00624399">
        <w:rPr>
          <w:b/>
          <w:sz w:val="22"/>
          <w:szCs w:val="22"/>
        </w:rPr>
        <w:t>Performance standard:</w:t>
      </w:r>
      <w:r w:rsidRPr="00624399">
        <w:rPr>
          <w:sz w:val="22"/>
          <w:szCs w:val="22"/>
        </w:rPr>
        <w:t xml:space="preserve"> The </w:t>
      </w:r>
      <w:r w:rsidRPr="00271A75">
        <w:rPr>
          <w:b/>
          <w:sz w:val="22"/>
          <w:szCs w:val="22"/>
        </w:rPr>
        <w:t>0.10 acre</w:t>
      </w:r>
      <w:r w:rsidRPr="00624399">
        <w:rPr>
          <w:sz w:val="22"/>
          <w:szCs w:val="22"/>
        </w:rPr>
        <w:t xml:space="preserve"> mitigation area must successfully meet </w:t>
      </w:r>
      <w:r>
        <w:rPr>
          <w:sz w:val="22"/>
          <w:szCs w:val="22"/>
        </w:rPr>
        <w:t>performance standards</w:t>
      </w:r>
      <w:r w:rsidRPr="00624399">
        <w:rPr>
          <w:sz w:val="22"/>
          <w:szCs w:val="22"/>
        </w:rPr>
        <w:t xml:space="preserve">, as defined in </w:t>
      </w:r>
      <w:r>
        <w:rPr>
          <w:sz w:val="22"/>
          <w:szCs w:val="22"/>
        </w:rPr>
        <w:t>component 8. Performance Standards</w:t>
      </w:r>
    </w:p>
    <w:p w:rsidR="00271A75" w:rsidRPr="00624399" w:rsidRDefault="00271A75" w:rsidP="00271A75">
      <w:pPr>
        <w:rPr>
          <w:sz w:val="22"/>
          <w:szCs w:val="22"/>
        </w:rPr>
      </w:pPr>
    </w:p>
    <w:p w:rsidR="00271A75" w:rsidRPr="00C8681C" w:rsidRDefault="00271A75" w:rsidP="00271A75">
      <w:pPr>
        <w:numPr>
          <w:ilvl w:val="0"/>
          <w:numId w:val="1"/>
        </w:numPr>
        <w:rPr>
          <w:sz w:val="22"/>
          <w:szCs w:val="22"/>
        </w:rPr>
      </w:pPr>
      <w:r w:rsidRPr="00624399">
        <w:rPr>
          <w:b/>
          <w:sz w:val="22"/>
          <w:szCs w:val="22"/>
        </w:rPr>
        <w:t xml:space="preserve">Monitoring Requirements: </w:t>
      </w:r>
    </w:p>
    <w:p w:rsidR="00271A75" w:rsidRDefault="00271A75" w:rsidP="00271A75">
      <w:pPr>
        <w:pStyle w:val="ListParagraph"/>
        <w:rPr>
          <w:sz w:val="22"/>
          <w:szCs w:val="22"/>
        </w:rPr>
      </w:pPr>
    </w:p>
    <w:p w:rsidR="00271A75" w:rsidRDefault="00271A75" w:rsidP="00271A75">
      <w:pPr>
        <w:ind w:left="1440"/>
        <w:rPr>
          <w:rFonts w:ascii="Arial" w:hAnsi="Arial" w:cs="Arial"/>
          <w:sz w:val="22"/>
          <w:szCs w:val="22"/>
        </w:rPr>
      </w:pPr>
      <w:r>
        <w:rPr>
          <w:sz w:val="22"/>
          <w:szCs w:val="22"/>
        </w:rPr>
        <w:t xml:space="preserve">The NDDOT shall submit </w:t>
      </w:r>
      <w:r w:rsidRPr="00624399">
        <w:rPr>
          <w:sz w:val="22"/>
          <w:szCs w:val="22"/>
        </w:rPr>
        <w:t>mitigation monitoring report</w:t>
      </w:r>
      <w:r>
        <w:rPr>
          <w:sz w:val="22"/>
          <w:szCs w:val="22"/>
        </w:rPr>
        <w:t>s as stated below:</w:t>
      </w:r>
      <w:r w:rsidRPr="007659E9">
        <w:rPr>
          <w:rFonts w:ascii="Arial" w:hAnsi="Arial" w:cs="Arial"/>
          <w:sz w:val="22"/>
          <w:szCs w:val="22"/>
        </w:rPr>
        <w:t xml:space="preserve"> </w:t>
      </w:r>
    </w:p>
    <w:p w:rsidR="00271A75" w:rsidRPr="007659E9" w:rsidRDefault="00271A75" w:rsidP="00271A75">
      <w:pPr>
        <w:ind w:left="1440"/>
        <w:rPr>
          <w:sz w:val="22"/>
          <w:szCs w:val="22"/>
        </w:rPr>
      </w:pPr>
    </w:p>
    <w:p w:rsidR="00271A75" w:rsidRDefault="00271A75" w:rsidP="00271A75">
      <w:pPr>
        <w:numPr>
          <w:ilvl w:val="3"/>
          <w:numId w:val="5"/>
        </w:numPr>
        <w:ind w:left="2160"/>
        <w:rPr>
          <w:sz w:val="22"/>
          <w:szCs w:val="22"/>
        </w:rPr>
      </w:pPr>
      <w:r w:rsidRPr="007659E9">
        <w:rPr>
          <w:sz w:val="22"/>
          <w:szCs w:val="22"/>
        </w:rPr>
        <w:t>First growing season:  A mitigation monitoring report will be submitted to the North Dakota Regulatory Office.  The report will discuss and document that the site was constructed as detailed in the mitigation plan</w:t>
      </w:r>
      <w:r>
        <w:rPr>
          <w:sz w:val="22"/>
          <w:szCs w:val="22"/>
        </w:rPr>
        <w:t>, identify any problem areas,</w:t>
      </w:r>
      <w:r w:rsidRPr="007659E9">
        <w:rPr>
          <w:sz w:val="22"/>
          <w:szCs w:val="22"/>
        </w:rPr>
        <w:t xml:space="preserve"> and a map will be included with established photo points.  The photographic narrative will be included.  The NDDOT onsite mitigation certification form will be included.</w:t>
      </w:r>
    </w:p>
    <w:p w:rsidR="00271A75" w:rsidRDefault="00271A75" w:rsidP="00271A75">
      <w:pPr>
        <w:ind w:left="2160"/>
        <w:rPr>
          <w:sz w:val="22"/>
          <w:szCs w:val="22"/>
        </w:rPr>
      </w:pPr>
    </w:p>
    <w:p w:rsidR="00271A75" w:rsidRDefault="00271A75" w:rsidP="00271A75">
      <w:pPr>
        <w:ind w:left="2880" w:hanging="720"/>
        <w:rPr>
          <w:sz w:val="22"/>
          <w:szCs w:val="22"/>
        </w:rPr>
      </w:pPr>
      <w:r>
        <w:rPr>
          <w:sz w:val="22"/>
          <w:szCs w:val="22"/>
        </w:rPr>
        <w:t>The map will include:</w:t>
      </w:r>
    </w:p>
    <w:p w:rsidR="00271A75" w:rsidRDefault="00271A75" w:rsidP="00271A75">
      <w:pPr>
        <w:numPr>
          <w:ilvl w:val="4"/>
          <w:numId w:val="10"/>
        </w:numPr>
        <w:ind w:left="2880"/>
        <w:rPr>
          <w:sz w:val="22"/>
          <w:szCs w:val="22"/>
        </w:rPr>
      </w:pPr>
      <w:r>
        <w:rPr>
          <w:sz w:val="22"/>
          <w:szCs w:val="22"/>
        </w:rPr>
        <w:t>Most current aerial background</w:t>
      </w:r>
    </w:p>
    <w:p w:rsidR="00271A75" w:rsidRDefault="00271A75" w:rsidP="00271A75">
      <w:pPr>
        <w:numPr>
          <w:ilvl w:val="4"/>
          <w:numId w:val="10"/>
        </w:numPr>
        <w:ind w:left="2880"/>
        <w:rPr>
          <w:sz w:val="22"/>
          <w:szCs w:val="22"/>
        </w:rPr>
      </w:pPr>
      <w:r w:rsidRPr="00363DBE">
        <w:rPr>
          <w:sz w:val="22"/>
          <w:szCs w:val="22"/>
        </w:rPr>
        <w:t>Previously delineated existing wetlands (</w:t>
      </w:r>
      <w:r>
        <w:rPr>
          <w:sz w:val="22"/>
          <w:szCs w:val="22"/>
        </w:rPr>
        <w:t xml:space="preserve">if present, </w:t>
      </w:r>
      <w:r w:rsidRPr="00363DBE">
        <w:rPr>
          <w:sz w:val="22"/>
          <w:szCs w:val="22"/>
        </w:rPr>
        <w:t>supplied by NDDOT)</w:t>
      </w:r>
    </w:p>
    <w:p w:rsidR="00271A75" w:rsidRDefault="00271A75" w:rsidP="00271A75">
      <w:pPr>
        <w:numPr>
          <w:ilvl w:val="4"/>
          <w:numId w:val="10"/>
        </w:numPr>
        <w:ind w:left="2880"/>
        <w:rPr>
          <w:sz w:val="22"/>
          <w:szCs w:val="22"/>
        </w:rPr>
      </w:pPr>
      <w:r>
        <w:rPr>
          <w:sz w:val="22"/>
          <w:szCs w:val="22"/>
        </w:rPr>
        <w:t>Design mitigation boundary</w:t>
      </w:r>
    </w:p>
    <w:p w:rsidR="00271A75" w:rsidRDefault="00271A75" w:rsidP="00271A75">
      <w:pPr>
        <w:numPr>
          <w:ilvl w:val="4"/>
          <w:numId w:val="10"/>
        </w:numPr>
        <w:ind w:left="2880"/>
        <w:rPr>
          <w:sz w:val="22"/>
          <w:szCs w:val="22"/>
        </w:rPr>
      </w:pPr>
      <w:r>
        <w:rPr>
          <w:sz w:val="22"/>
          <w:szCs w:val="22"/>
        </w:rPr>
        <w:t>Photo points</w:t>
      </w:r>
    </w:p>
    <w:p w:rsidR="00271A75" w:rsidRDefault="00271A75" w:rsidP="00271A75">
      <w:pPr>
        <w:numPr>
          <w:ilvl w:val="4"/>
          <w:numId w:val="10"/>
        </w:numPr>
        <w:ind w:left="2880"/>
        <w:rPr>
          <w:sz w:val="22"/>
          <w:szCs w:val="22"/>
        </w:rPr>
      </w:pPr>
      <w:r>
        <w:rPr>
          <w:sz w:val="22"/>
          <w:szCs w:val="22"/>
        </w:rPr>
        <w:t>Remedial action areas</w:t>
      </w:r>
    </w:p>
    <w:p w:rsidR="00271A75" w:rsidRPr="007659E9" w:rsidRDefault="00271A75" w:rsidP="00271A75">
      <w:pPr>
        <w:ind w:left="2160"/>
        <w:rPr>
          <w:sz w:val="22"/>
          <w:szCs w:val="22"/>
        </w:rPr>
      </w:pPr>
    </w:p>
    <w:p w:rsidR="00271A75" w:rsidRDefault="00271A75" w:rsidP="00271A75">
      <w:pPr>
        <w:numPr>
          <w:ilvl w:val="3"/>
          <w:numId w:val="5"/>
        </w:numPr>
        <w:ind w:left="2160"/>
        <w:rPr>
          <w:sz w:val="22"/>
          <w:szCs w:val="22"/>
        </w:rPr>
      </w:pPr>
      <w:r w:rsidRPr="007659E9">
        <w:rPr>
          <w:sz w:val="22"/>
          <w:szCs w:val="22"/>
        </w:rPr>
        <w:t>Second growing season:  A mitigation monitoring report will be submitted to the North Dakota Regulatory Office.  The report will discuss and document how the site is progressing</w:t>
      </w:r>
      <w:r>
        <w:rPr>
          <w:sz w:val="22"/>
          <w:szCs w:val="22"/>
        </w:rPr>
        <w:t xml:space="preserve"> </w:t>
      </w:r>
      <w:r w:rsidRPr="00363DBE">
        <w:rPr>
          <w:sz w:val="22"/>
          <w:szCs w:val="22"/>
        </w:rPr>
        <w:t>toward meeting performance standards up to the design boundary</w:t>
      </w:r>
      <w:r>
        <w:rPr>
          <w:sz w:val="22"/>
          <w:szCs w:val="22"/>
        </w:rPr>
        <w:t>, identify any problem areas,</w:t>
      </w:r>
      <w:r w:rsidRPr="007659E9">
        <w:rPr>
          <w:sz w:val="22"/>
          <w:szCs w:val="22"/>
        </w:rPr>
        <w:t xml:space="preserve"> and a map </w:t>
      </w:r>
      <w:r w:rsidRPr="007659E9">
        <w:rPr>
          <w:sz w:val="22"/>
          <w:szCs w:val="22"/>
        </w:rPr>
        <w:lastRenderedPageBreak/>
        <w:t xml:space="preserve">will be included with </w:t>
      </w:r>
      <w:r>
        <w:rPr>
          <w:sz w:val="22"/>
          <w:szCs w:val="22"/>
        </w:rPr>
        <w:t xml:space="preserve">previously </w:t>
      </w:r>
      <w:r w:rsidRPr="007659E9">
        <w:rPr>
          <w:sz w:val="22"/>
          <w:szCs w:val="22"/>
        </w:rPr>
        <w:t>established photo points.  The photographic narrative will be included.</w:t>
      </w:r>
    </w:p>
    <w:p w:rsidR="00271A75" w:rsidRDefault="00271A75" w:rsidP="00271A75">
      <w:pPr>
        <w:ind w:left="2160"/>
        <w:rPr>
          <w:sz w:val="22"/>
          <w:szCs w:val="22"/>
        </w:rPr>
      </w:pPr>
    </w:p>
    <w:p w:rsidR="00271A75" w:rsidRDefault="00271A75" w:rsidP="00271A75">
      <w:pPr>
        <w:ind w:left="2880" w:hanging="720"/>
        <w:rPr>
          <w:sz w:val="22"/>
          <w:szCs w:val="22"/>
        </w:rPr>
      </w:pPr>
      <w:r>
        <w:rPr>
          <w:sz w:val="22"/>
          <w:szCs w:val="22"/>
        </w:rPr>
        <w:t>The map will include:</w:t>
      </w:r>
    </w:p>
    <w:p w:rsidR="00271A75" w:rsidRDefault="00271A75" w:rsidP="00271A75">
      <w:pPr>
        <w:numPr>
          <w:ilvl w:val="0"/>
          <w:numId w:val="11"/>
        </w:numPr>
        <w:ind w:left="2880"/>
        <w:rPr>
          <w:sz w:val="22"/>
          <w:szCs w:val="22"/>
        </w:rPr>
      </w:pPr>
      <w:r>
        <w:rPr>
          <w:sz w:val="22"/>
          <w:szCs w:val="22"/>
        </w:rPr>
        <w:t>Most current aerial background</w:t>
      </w:r>
    </w:p>
    <w:p w:rsidR="00271A75" w:rsidRPr="00363DBE" w:rsidRDefault="00271A75" w:rsidP="00271A75">
      <w:pPr>
        <w:numPr>
          <w:ilvl w:val="0"/>
          <w:numId w:val="11"/>
        </w:numPr>
        <w:ind w:left="2880"/>
        <w:rPr>
          <w:sz w:val="22"/>
          <w:szCs w:val="22"/>
        </w:rPr>
      </w:pPr>
      <w:r w:rsidRPr="00363DBE">
        <w:rPr>
          <w:sz w:val="22"/>
          <w:szCs w:val="22"/>
        </w:rPr>
        <w:t>Previously delineated existing wetlands (if present, supplied by NDDOT)</w:t>
      </w:r>
    </w:p>
    <w:p w:rsidR="00271A75" w:rsidRDefault="00271A75" w:rsidP="00271A75">
      <w:pPr>
        <w:numPr>
          <w:ilvl w:val="0"/>
          <w:numId w:val="11"/>
        </w:numPr>
        <w:ind w:left="2880"/>
        <w:rPr>
          <w:sz w:val="22"/>
          <w:szCs w:val="22"/>
        </w:rPr>
      </w:pPr>
      <w:r>
        <w:rPr>
          <w:sz w:val="22"/>
          <w:szCs w:val="22"/>
        </w:rPr>
        <w:t>Design mitigation boundary</w:t>
      </w:r>
    </w:p>
    <w:p w:rsidR="00271A75" w:rsidRDefault="00271A75" w:rsidP="00271A75">
      <w:pPr>
        <w:numPr>
          <w:ilvl w:val="0"/>
          <w:numId w:val="11"/>
        </w:numPr>
        <w:ind w:left="2880"/>
        <w:rPr>
          <w:sz w:val="22"/>
          <w:szCs w:val="22"/>
        </w:rPr>
      </w:pPr>
      <w:r>
        <w:rPr>
          <w:sz w:val="22"/>
          <w:szCs w:val="22"/>
        </w:rPr>
        <w:t>Photo points</w:t>
      </w:r>
    </w:p>
    <w:p w:rsidR="00271A75" w:rsidRDefault="00271A75" w:rsidP="00271A75">
      <w:pPr>
        <w:numPr>
          <w:ilvl w:val="0"/>
          <w:numId w:val="11"/>
        </w:numPr>
        <w:ind w:left="2880"/>
        <w:rPr>
          <w:sz w:val="22"/>
          <w:szCs w:val="22"/>
        </w:rPr>
      </w:pPr>
      <w:r>
        <w:rPr>
          <w:sz w:val="22"/>
          <w:szCs w:val="22"/>
        </w:rPr>
        <w:t>Remedial action areas</w:t>
      </w:r>
    </w:p>
    <w:p w:rsidR="00271A75" w:rsidRPr="007659E9" w:rsidRDefault="00271A75" w:rsidP="00271A75">
      <w:pPr>
        <w:ind w:left="2160"/>
        <w:rPr>
          <w:sz w:val="22"/>
          <w:szCs w:val="22"/>
        </w:rPr>
      </w:pPr>
    </w:p>
    <w:p w:rsidR="00271A75" w:rsidRDefault="00271A75" w:rsidP="00271A75">
      <w:pPr>
        <w:numPr>
          <w:ilvl w:val="3"/>
          <w:numId w:val="5"/>
        </w:numPr>
        <w:ind w:left="2160"/>
        <w:rPr>
          <w:sz w:val="22"/>
          <w:szCs w:val="22"/>
        </w:rPr>
      </w:pPr>
      <w:r w:rsidRPr="007659E9">
        <w:rPr>
          <w:sz w:val="22"/>
          <w:szCs w:val="22"/>
        </w:rPr>
        <w:t xml:space="preserve">Third growing season and/or until performance criteria are met:  A monitoring report shall be submitted to the North Dakota Regulatory Office.  The report will include the identification of existing vegetation and documentation of hydrology indicators within the mitigation site.  A </w:t>
      </w:r>
      <w:r>
        <w:rPr>
          <w:sz w:val="22"/>
          <w:szCs w:val="22"/>
        </w:rPr>
        <w:t>mitigation site</w:t>
      </w:r>
      <w:r w:rsidRPr="007659E9">
        <w:rPr>
          <w:sz w:val="22"/>
          <w:szCs w:val="22"/>
        </w:rPr>
        <w:t xml:space="preserve"> boundary where performance standards are being met will be collected</w:t>
      </w:r>
      <w:r>
        <w:rPr>
          <w:sz w:val="22"/>
          <w:szCs w:val="22"/>
        </w:rPr>
        <w:t xml:space="preserve"> and shown on a map</w:t>
      </w:r>
      <w:r w:rsidRPr="007659E9">
        <w:rPr>
          <w:sz w:val="22"/>
          <w:szCs w:val="22"/>
        </w:rPr>
        <w:t>.  The photographic narrative will be included.</w:t>
      </w:r>
      <w:r>
        <w:rPr>
          <w:sz w:val="22"/>
          <w:szCs w:val="22"/>
        </w:rPr>
        <w:t xml:space="preserve">  </w:t>
      </w:r>
    </w:p>
    <w:p w:rsidR="00271A75" w:rsidRDefault="00271A75" w:rsidP="00271A75">
      <w:pPr>
        <w:ind w:left="2160"/>
        <w:rPr>
          <w:sz w:val="22"/>
          <w:szCs w:val="22"/>
        </w:rPr>
      </w:pPr>
    </w:p>
    <w:p w:rsidR="00271A75" w:rsidRDefault="00271A75" w:rsidP="00271A75">
      <w:pPr>
        <w:ind w:left="2880" w:hanging="720"/>
        <w:rPr>
          <w:sz w:val="22"/>
          <w:szCs w:val="22"/>
        </w:rPr>
      </w:pPr>
      <w:r>
        <w:rPr>
          <w:sz w:val="22"/>
          <w:szCs w:val="22"/>
        </w:rPr>
        <w:t>The map will include:</w:t>
      </w:r>
    </w:p>
    <w:p w:rsidR="00271A75" w:rsidRDefault="00271A75" w:rsidP="00271A75">
      <w:pPr>
        <w:numPr>
          <w:ilvl w:val="4"/>
          <w:numId w:val="5"/>
        </w:numPr>
        <w:ind w:left="2880"/>
        <w:rPr>
          <w:sz w:val="22"/>
          <w:szCs w:val="22"/>
        </w:rPr>
      </w:pPr>
      <w:r>
        <w:rPr>
          <w:sz w:val="22"/>
          <w:szCs w:val="22"/>
        </w:rPr>
        <w:t>Most current aerial background</w:t>
      </w:r>
    </w:p>
    <w:p w:rsidR="00271A75" w:rsidRPr="00363DBE" w:rsidRDefault="00271A75" w:rsidP="00271A75">
      <w:pPr>
        <w:numPr>
          <w:ilvl w:val="4"/>
          <w:numId w:val="5"/>
        </w:numPr>
        <w:ind w:left="2880"/>
        <w:rPr>
          <w:sz w:val="22"/>
          <w:szCs w:val="22"/>
        </w:rPr>
      </w:pPr>
      <w:r w:rsidRPr="00363DBE">
        <w:rPr>
          <w:sz w:val="22"/>
          <w:szCs w:val="22"/>
        </w:rPr>
        <w:t>Previously delineated existing wetlands (if present, supplied by NDDOT)</w:t>
      </w:r>
    </w:p>
    <w:p w:rsidR="00271A75" w:rsidRDefault="00271A75" w:rsidP="00271A75">
      <w:pPr>
        <w:numPr>
          <w:ilvl w:val="4"/>
          <w:numId w:val="5"/>
        </w:numPr>
        <w:ind w:left="2880"/>
        <w:rPr>
          <w:sz w:val="22"/>
          <w:szCs w:val="22"/>
        </w:rPr>
      </w:pPr>
      <w:r>
        <w:rPr>
          <w:sz w:val="22"/>
          <w:szCs w:val="22"/>
        </w:rPr>
        <w:t>Design mitigation boundary</w:t>
      </w:r>
    </w:p>
    <w:p w:rsidR="00271A75" w:rsidRDefault="00271A75" w:rsidP="00271A75">
      <w:pPr>
        <w:numPr>
          <w:ilvl w:val="4"/>
          <w:numId w:val="5"/>
        </w:numPr>
        <w:ind w:left="2880"/>
        <w:rPr>
          <w:sz w:val="22"/>
          <w:szCs w:val="22"/>
        </w:rPr>
      </w:pPr>
      <w:r>
        <w:rPr>
          <w:sz w:val="22"/>
          <w:szCs w:val="22"/>
        </w:rPr>
        <w:t xml:space="preserve">Mitigation boundary where performance standards are met </w:t>
      </w:r>
      <w:r w:rsidRPr="00363DBE">
        <w:rPr>
          <w:sz w:val="22"/>
          <w:szCs w:val="22"/>
        </w:rPr>
        <w:t>(can go beyond mitigation design boundary but not within pre</w:t>
      </w:r>
      <w:r>
        <w:t>viously delineated wetlands)</w:t>
      </w:r>
    </w:p>
    <w:p w:rsidR="00271A75" w:rsidRDefault="00271A75" w:rsidP="00271A75">
      <w:pPr>
        <w:numPr>
          <w:ilvl w:val="4"/>
          <w:numId w:val="5"/>
        </w:numPr>
        <w:ind w:left="2880"/>
        <w:rPr>
          <w:sz w:val="22"/>
          <w:szCs w:val="22"/>
        </w:rPr>
      </w:pPr>
      <w:r>
        <w:rPr>
          <w:sz w:val="22"/>
          <w:szCs w:val="22"/>
        </w:rPr>
        <w:t>Photo points</w:t>
      </w:r>
    </w:p>
    <w:p w:rsidR="00271A75" w:rsidRDefault="00271A75" w:rsidP="00271A75">
      <w:pPr>
        <w:numPr>
          <w:ilvl w:val="4"/>
          <w:numId w:val="5"/>
        </w:numPr>
        <w:ind w:left="2880"/>
        <w:rPr>
          <w:sz w:val="22"/>
          <w:szCs w:val="22"/>
        </w:rPr>
      </w:pPr>
      <w:r>
        <w:rPr>
          <w:sz w:val="22"/>
          <w:szCs w:val="22"/>
        </w:rPr>
        <w:t xml:space="preserve">Remedial action areas </w:t>
      </w:r>
    </w:p>
    <w:p w:rsidR="00271A75" w:rsidRPr="007659E9" w:rsidRDefault="00271A75" w:rsidP="00271A75">
      <w:pPr>
        <w:ind w:left="2160"/>
        <w:rPr>
          <w:sz w:val="22"/>
          <w:szCs w:val="22"/>
        </w:rPr>
      </w:pPr>
    </w:p>
    <w:p w:rsidR="00271A75" w:rsidRPr="007659E9" w:rsidRDefault="00271A75" w:rsidP="00271A75">
      <w:pPr>
        <w:numPr>
          <w:ilvl w:val="3"/>
          <w:numId w:val="5"/>
        </w:numPr>
        <w:ind w:left="2160"/>
        <w:rPr>
          <w:sz w:val="22"/>
          <w:szCs w:val="22"/>
        </w:rPr>
      </w:pPr>
      <w:r w:rsidRPr="007659E9">
        <w:rPr>
          <w:sz w:val="22"/>
          <w:szCs w:val="22"/>
        </w:rPr>
        <w:t xml:space="preserve">If remedial actions are needed, the reporting may start over as the first growing season requirements after remediation activities are complete. </w:t>
      </w:r>
    </w:p>
    <w:p w:rsidR="00271A75" w:rsidRPr="007659E9" w:rsidRDefault="00271A75" w:rsidP="00271A75">
      <w:pPr>
        <w:ind w:left="1440"/>
        <w:rPr>
          <w:sz w:val="22"/>
          <w:szCs w:val="22"/>
        </w:rPr>
      </w:pPr>
    </w:p>
    <w:p w:rsidR="00271A75" w:rsidRPr="007659E9" w:rsidRDefault="00271A75" w:rsidP="00271A75">
      <w:pPr>
        <w:ind w:left="1440"/>
        <w:rPr>
          <w:sz w:val="22"/>
          <w:szCs w:val="22"/>
        </w:rPr>
      </w:pPr>
      <w:r w:rsidRPr="007659E9">
        <w:rPr>
          <w:sz w:val="22"/>
          <w:szCs w:val="22"/>
        </w:rPr>
        <w:t>Onsite monitoring shall be conducted from June 15th to the end of the growing season.  The monitoring reports shall include the following:</w:t>
      </w:r>
    </w:p>
    <w:p w:rsidR="007659E9" w:rsidRPr="007659E9" w:rsidRDefault="007659E9" w:rsidP="007659E9">
      <w:pPr>
        <w:ind w:left="1440"/>
        <w:rPr>
          <w:sz w:val="22"/>
          <w:szCs w:val="22"/>
        </w:rPr>
      </w:pPr>
    </w:p>
    <w:p w:rsidR="007659E9" w:rsidRPr="007659E9" w:rsidRDefault="007659E9" w:rsidP="007659E9">
      <w:pPr>
        <w:numPr>
          <w:ilvl w:val="0"/>
          <w:numId w:val="2"/>
        </w:numPr>
        <w:rPr>
          <w:sz w:val="22"/>
          <w:szCs w:val="22"/>
        </w:rPr>
      </w:pPr>
      <w:r w:rsidRPr="007659E9">
        <w:rPr>
          <w:sz w:val="22"/>
          <w:szCs w:val="22"/>
        </w:rPr>
        <w:t xml:space="preserve">Corps of Engineers Permit Number </w:t>
      </w:r>
      <w:r w:rsidRPr="00271A75">
        <w:rPr>
          <w:b/>
          <w:sz w:val="22"/>
          <w:szCs w:val="22"/>
        </w:rPr>
        <w:t>NWO-2016-1395-BIS</w:t>
      </w:r>
      <w:r w:rsidRPr="007659E9">
        <w:rPr>
          <w:sz w:val="22"/>
          <w:szCs w:val="22"/>
        </w:rPr>
        <w:t xml:space="preserve">, NDDOT project number </w:t>
      </w:r>
      <w:r w:rsidRPr="00271A75">
        <w:rPr>
          <w:b/>
          <w:sz w:val="22"/>
          <w:szCs w:val="22"/>
        </w:rPr>
        <w:t>HEN-2-052(040)244, PCN 21040</w:t>
      </w:r>
      <w:r w:rsidRPr="007659E9">
        <w:rPr>
          <w:sz w:val="22"/>
          <w:szCs w:val="22"/>
        </w:rPr>
        <w:t>.</w:t>
      </w:r>
    </w:p>
    <w:p w:rsidR="007659E9" w:rsidRPr="007659E9" w:rsidRDefault="007659E9" w:rsidP="007659E9">
      <w:pPr>
        <w:numPr>
          <w:ilvl w:val="0"/>
          <w:numId w:val="2"/>
        </w:numPr>
        <w:tabs>
          <w:tab w:val="num" w:pos="1080"/>
        </w:tabs>
        <w:rPr>
          <w:sz w:val="22"/>
          <w:szCs w:val="22"/>
        </w:rPr>
      </w:pPr>
      <w:r w:rsidRPr="007659E9">
        <w:rPr>
          <w:sz w:val="22"/>
          <w:szCs w:val="22"/>
        </w:rPr>
        <w:t>Name and contact information of permittee, point of contact and consultant (if one is used), as well as the dates the inspection(s) was conducted.</w:t>
      </w:r>
    </w:p>
    <w:p w:rsidR="007659E9" w:rsidRPr="007659E9" w:rsidRDefault="007659E9" w:rsidP="007659E9">
      <w:pPr>
        <w:numPr>
          <w:ilvl w:val="0"/>
          <w:numId w:val="2"/>
        </w:numPr>
        <w:tabs>
          <w:tab w:val="num" w:pos="1080"/>
        </w:tabs>
        <w:rPr>
          <w:sz w:val="22"/>
          <w:szCs w:val="22"/>
        </w:rPr>
      </w:pPr>
      <w:r w:rsidRPr="007659E9">
        <w:rPr>
          <w:sz w:val="22"/>
          <w:szCs w:val="22"/>
        </w:rPr>
        <w:t>Directions to the mitigation/project site.</w:t>
      </w:r>
    </w:p>
    <w:p w:rsidR="007659E9" w:rsidRPr="007659E9" w:rsidRDefault="007659E9" w:rsidP="007659E9">
      <w:pPr>
        <w:numPr>
          <w:ilvl w:val="0"/>
          <w:numId w:val="2"/>
        </w:numPr>
        <w:tabs>
          <w:tab w:val="num" w:pos="1080"/>
        </w:tabs>
        <w:rPr>
          <w:sz w:val="22"/>
          <w:szCs w:val="22"/>
        </w:rPr>
      </w:pPr>
      <w:r w:rsidRPr="007659E9">
        <w:rPr>
          <w:sz w:val="22"/>
          <w:szCs w:val="22"/>
        </w:rPr>
        <w:t>Log or timeline reflecting the construction and development of the compensatory wetland mitigation, including the completion date for construction of all mitigation, remedial actions (if any), plantings, monitoring dates, etc., as well as the date the site meets full success criteria (meeting all performance standards).</w:t>
      </w:r>
    </w:p>
    <w:p w:rsidR="007659E9" w:rsidRPr="007659E9" w:rsidRDefault="007659E9" w:rsidP="007659E9">
      <w:pPr>
        <w:numPr>
          <w:ilvl w:val="0"/>
          <w:numId w:val="2"/>
        </w:numPr>
        <w:tabs>
          <w:tab w:val="num" w:pos="1080"/>
        </w:tabs>
        <w:rPr>
          <w:sz w:val="22"/>
          <w:szCs w:val="22"/>
        </w:rPr>
      </w:pPr>
      <w:r w:rsidRPr="007659E9">
        <w:rPr>
          <w:sz w:val="22"/>
          <w:szCs w:val="22"/>
        </w:rPr>
        <w:t>Photographic and narrative summary of the mitigation site’s development, specifically including the following:</w:t>
      </w:r>
    </w:p>
    <w:p w:rsidR="007659E9" w:rsidRPr="007659E9" w:rsidRDefault="007659E9" w:rsidP="007659E9">
      <w:pPr>
        <w:numPr>
          <w:ilvl w:val="0"/>
          <w:numId w:val="8"/>
        </w:numPr>
        <w:rPr>
          <w:sz w:val="22"/>
          <w:szCs w:val="22"/>
        </w:rPr>
      </w:pPr>
      <w:r w:rsidRPr="007659E9">
        <w:rPr>
          <w:sz w:val="22"/>
          <w:szCs w:val="22"/>
        </w:rPr>
        <w:t>Photographs of the mitigation site prior to construction, encompassing the entire mitigation area using the NDDOT photo template.</w:t>
      </w:r>
    </w:p>
    <w:p w:rsidR="007659E9" w:rsidRPr="007659E9" w:rsidRDefault="007659E9" w:rsidP="007659E9">
      <w:pPr>
        <w:numPr>
          <w:ilvl w:val="0"/>
          <w:numId w:val="8"/>
        </w:numPr>
        <w:rPr>
          <w:sz w:val="22"/>
          <w:szCs w:val="22"/>
        </w:rPr>
      </w:pPr>
      <w:r w:rsidRPr="007659E9">
        <w:rPr>
          <w:sz w:val="22"/>
          <w:szCs w:val="22"/>
        </w:rPr>
        <w:t xml:space="preserve">Photographs and narrative summary of the mitigation site’s progress and development into meeting wetland criteria. </w:t>
      </w:r>
    </w:p>
    <w:p w:rsidR="007659E9" w:rsidRPr="007659E9" w:rsidRDefault="007659E9" w:rsidP="007659E9">
      <w:pPr>
        <w:numPr>
          <w:ilvl w:val="0"/>
          <w:numId w:val="8"/>
        </w:numPr>
        <w:rPr>
          <w:sz w:val="22"/>
          <w:szCs w:val="22"/>
        </w:rPr>
      </w:pPr>
      <w:r w:rsidRPr="007659E9">
        <w:rPr>
          <w:sz w:val="22"/>
          <w:szCs w:val="22"/>
        </w:rPr>
        <w:t xml:space="preserve">Photographs taken from a minimum of one fixed point and directions for each wetland mitigation Site.  Photo location and points must be sufficiently spaced to provide visual depiction of the entire site’s development. </w:t>
      </w:r>
    </w:p>
    <w:p w:rsidR="007659E9" w:rsidRPr="007659E9" w:rsidRDefault="007659E9" w:rsidP="007659E9">
      <w:pPr>
        <w:numPr>
          <w:ilvl w:val="0"/>
          <w:numId w:val="8"/>
        </w:numPr>
        <w:rPr>
          <w:sz w:val="22"/>
          <w:szCs w:val="22"/>
        </w:rPr>
      </w:pPr>
      <w:r w:rsidRPr="007659E9">
        <w:rPr>
          <w:sz w:val="22"/>
          <w:szCs w:val="22"/>
        </w:rPr>
        <w:t>Additional photograph(s) and description(s) of problem areas, if any are identified.</w:t>
      </w:r>
    </w:p>
    <w:p w:rsidR="007659E9" w:rsidRPr="007659E9" w:rsidRDefault="007659E9" w:rsidP="007659E9">
      <w:pPr>
        <w:numPr>
          <w:ilvl w:val="0"/>
          <w:numId w:val="8"/>
        </w:numPr>
        <w:rPr>
          <w:sz w:val="22"/>
          <w:szCs w:val="22"/>
        </w:rPr>
      </w:pPr>
      <w:r w:rsidRPr="007659E9">
        <w:rPr>
          <w:sz w:val="22"/>
          <w:szCs w:val="22"/>
        </w:rPr>
        <w:t>Recommendations for any additional corrective or remedial actions (if needed).</w:t>
      </w:r>
    </w:p>
    <w:p w:rsidR="007659E9" w:rsidRPr="007659E9" w:rsidRDefault="007659E9" w:rsidP="007659E9">
      <w:pPr>
        <w:numPr>
          <w:ilvl w:val="0"/>
          <w:numId w:val="2"/>
        </w:numPr>
        <w:tabs>
          <w:tab w:val="num" w:pos="1080"/>
        </w:tabs>
        <w:rPr>
          <w:sz w:val="22"/>
          <w:szCs w:val="22"/>
        </w:rPr>
      </w:pPr>
      <w:r w:rsidRPr="007659E9">
        <w:rPr>
          <w:sz w:val="22"/>
          <w:szCs w:val="22"/>
        </w:rPr>
        <w:t>Monitoring requirements may be waived by the North Dakota Regulatory Office once performance standards are met or a determination is made that the site adequately offsets the authorized impacts.</w:t>
      </w:r>
    </w:p>
    <w:p w:rsidR="007659E9" w:rsidRPr="007659E9" w:rsidRDefault="007659E9" w:rsidP="007659E9">
      <w:pPr>
        <w:ind w:left="1440"/>
        <w:rPr>
          <w:sz w:val="22"/>
          <w:szCs w:val="22"/>
        </w:rPr>
      </w:pPr>
    </w:p>
    <w:p w:rsidR="00624399" w:rsidRPr="00624399" w:rsidRDefault="007659E9" w:rsidP="007659E9">
      <w:pPr>
        <w:ind w:left="1440" w:hanging="720"/>
        <w:rPr>
          <w:sz w:val="22"/>
          <w:szCs w:val="22"/>
        </w:rPr>
      </w:pPr>
      <w:r>
        <w:rPr>
          <w:sz w:val="22"/>
          <w:szCs w:val="22"/>
        </w:rPr>
        <w:lastRenderedPageBreak/>
        <w:t>III</w:t>
      </w:r>
      <w:r w:rsidR="00541645">
        <w:rPr>
          <w:sz w:val="22"/>
          <w:szCs w:val="22"/>
        </w:rPr>
        <w:t>.</w:t>
      </w:r>
      <w:r>
        <w:rPr>
          <w:sz w:val="22"/>
          <w:szCs w:val="22"/>
        </w:rPr>
        <w:t xml:space="preserve">        </w:t>
      </w:r>
      <w:r w:rsidRPr="007659E9">
        <w:rPr>
          <w:b/>
          <w:sz w:val="22"/>
          <w:szCs w:val="22"/>
        </w:rPr>
        <w:t>Reports shall be sent to:</w:t>
      </w:r>
      <w:r w:rsidRPr="007659E9">
        <w:rPr>
          <w:sz w:val="22"/>
          <w:szCs w:val="22"/>
        </w:rPr>
        <w:t xml:space="preserve">  North Dakota Regulatory Office, 1513 South 12</w:t>
      </w:r>
      <w:r w:rsidRPr="007659E9">
        <w:rPr>
          <w:sz w:val="22"/>
          <w:szCs w:val="22"/>
          <w:vertAlign w:val="superscript"/>
        </w:rPr>
        <w:t>th</w:t>
      </w:r>
      <w:r w:rsidRPr="007659E9">
        <w:rPr>
          <w:sz w:val="22"/>
          <w:szCs w:val="22"/>
        </w:rPr>
        <w:t xml:space="preserve"> Street, Bismarck, North Dakota, 58504</w:t>
      </w:r>
    </w:p>
    <w:p w:rsidR="00E3370C" w:rsidRDefault="00E3370C" w:rsidP="00E3370C">
      <w:pPr>
        <w:rPr>
          <w:sz w:val="22"/>
          <w:szCs w:val="22"/>
        </w:rPr>
      </w:pPr>
    </w:p>
    <w:p w:rsidR="00236C8E" w:rsidRPr="00FB73B7" w:rsidRDefault="00236C8E" w:rsidP="00E3370C">
      <w:pPr>
        <w:rPr>
          <w:sz w:val="22"/>
          <w:szCs w:val="22"/>
        </w:rPr>
      </w:pPr>
    </w:p>
    <w:p w:rsidR="00236C8E" w:rsidRDefault="00431420" w:rsidP="008B2B44">
      <w:pPr>
        <w:ind w:left="720" w:hanging="360"/>
        <w:rPr>
          <w:rFonts w:ascii="Calibri" w:eastAsia="Calibri" w:hAnsi="Calibri" w:cs="Arial"/>
        </w:rPr>
      </w:pPr>
      <w:r w:rsidRPr="00431420">
        <w:rPr>
          <w:sz w:val="22"/>
          <w:szCs w:val="22"/>
        </w:rPr>
        <w:t>10.</w:t>
      </w:r>
      <w:r w:rsidRPr="00431420">
        <w:rPr>
          <w:sz w:val="22"/>
          <w:szCs w:val="22"/>
        </w:rPr>
        <w:tab/>
      </w:r>
      <w:r w:rsidR="00503D87" w:rsidRPr="00FB73B7">
        <w:rPr>
          <w:b/>
          <w:sz w:val="22"/>
          <w:szCs w:val="22"/>
          <w:u w:val="single"/>
        </w:rPr>
        <w:t>LONG-TERM MANAGEMENT PLAN</w:t>
      </w:r>
      <w:r w:rsidR="003E184D" w:rsidRPr="00FB73B7">
        <w:rPr>
          <w:sz w:val="22"/>
          <w:szCs w:val="22"/>
        </w:rPr>
        <w:t>:</w:t>
      </w:r>
      <w:r w:rsidR="00624399" w:rsidRPr="00526E66">
        <w:rPr>
          <w:rFonts w:ascii="Calibri" w:eastAsia="Calibri" w:hAnsi="Calibri" w:cs="Arial"/>
        </w:rPr>
        <w:t xml:space="preserve"> </w:t>
      </w:r>
    </w:p>
    <w:p w:rsidR="00624399" w:rsidRDefault="00624399" w:rsidP="00236C8E">
      <w:pPr>
        <w:ind w:left="720"/>
        <w:rPr>
          <w:sz w:val="22"/>
          <w:szCs w:val="22"/>
        </w:rPr>
      </w:pPr>
      <w:r w:rsidRPr="00624399">
        <w:rPr>
          <w:sz w:val="22"/>
          <w:szCs w:val="22"/>
        </w:rPr>
        <w:t>The N</w:t>
      </w:r>
      <w:r w:rsidR="007659E9">
        <w:rPr>
          <w:sz w:val="22"/>
          <w:szCs w:val="22"/>
        </w:rPr>
        <w:t>DDOT will continue to manage</w:t>
      </w:r>
      <w:r w:rsidRPr="00624399">
        <w:rPr>
          <w:sz w:val="22"/>
          <w:szCs w:val="22"/>
        </w:rPr>
        <w:t xml:space="preserve"> the site with noxious weed control, periodic mowing, and litter removal along with the adjacent road right of way.  Repairs will be to the original construction specification. The NDDOT will inform the USACE if any corrective measures are needed.</w:t>
      </w:r>
    </w:p>
    <w:p w:rsidR="00533DF7" w:rsidRDefault="00533DF7" w:rsidP="008B2B44">
      <w:pPr>
        <w:ind w:left="720" w:hanging="360"/>
        <w:rPr>
          <w:sz w:val="22"/>
          <w:szCs w:val="22"/>
        </w:rPr>
      </w:pPr>
    </w:p>
    <w:p w:rsidR="00236C8E" w:rsidRDefault="00503D87" w:rsidP="004565E7">
      <w:pPr>
        <w:numPr>
          <w:ilvl w:val="0"/>
          <w:numId w:val="9"/>
        </w:numPr>
        <w:rPr>
          <w:sz w:val="22"/>
          <w:szCs w:val="22"/>
        </w:rPr>
      </w:pPr>
      <w:r w:rsidRPr="00533DF7">
        <w:rPr>
          <w:b/>
          <w:sz w:val="22"/>
          <w:szCs w:val="22"/>
          <w:u w:val="single"/>
        </w:rPr>
        <w:t>ADAPTIVE MANAGEMENT PLAN</w:t>
      </w:r>
      <w:r w:rsidR="003E184D" w:rsidRPr="00533DF7">
        <w:rPr>
          <w:sz w:val="22"/>
          <w:szCs w:val="22"/>
        </w:rPr>
        <w:t xml:space="preserve">: </w:t>
      </w:r>
    </w:p>
    <w:p w:rsidR="00624399" w:rsidRPr="00533DF7" w:rsidRDefault="00624399" w:rsidP="00236C8E">
      <w:pPr>
        <w:ind w:left="720"/>
        <w:rPr>
          <w:sz w:val="22"/>
          <w:szCs w:val="22"/>
        </w:rPr>
      </w:pPr>
      <w:r w:rsidRPr="00533DF7">
        <w:rPr>
          <w:sz w:val="22"/>
          <w:szCs w:val="22"/>
        </w:rPr>
        <w:t>The N</w:t>
      </w:r>
      <w:r w:rsidR="007659E9" w:rsidRPr="00533DF7">
        <w:rPr>
          <w:sz w:val="22"/>
          <w:szCs w:val="22"/>
        </w:rPr>
        <w:t>DDOT will continue to manage</w:t>
      </w:r>
      <w:r w:rsidRPr="00533DF7">
        <w:rPr>
          <w:sz w:val="22"/>
          <w:szCs w:val="22"/>
        </w:rPr>
        <w:t xml:space="preserve"> the site with noxious weed control, periodic mowing to reduce litter accumulation, and repair of any structures to original construction specification.  The NDDOT will inform the USACE of any adaptive management needs</w:t>
      </w:r>
      <w:r w:rsidR="008B2B44" w:rsidRPr="00533DF7">
        <w:rPr>
          <w:sz w:val="22"/>
          <w:szCs w:val="22"/>
        </w:rPr>
        <w:t>.</w:t>
      </w:r>
    </w:p>
    <w:p w:rsidR="008B2B44" w:rsidRDefault="008B2B44" w:rsidP="008B2B44">
      <w:pPr>
        <w:ind w:left="720"/>
        <w:rPr>
          <w:sz w:val="22"/>
          <w:szCs w:val="22"/>
        </w:rPr>
      </w:pPr>
    </w:p>
    <w:p w:rsidR="00236C8E" w:rsidRDefault="00236C8E" w:rsidP="008B2B44">
      <w:pPr>
        <w:ind w:left="720"/>
        <w:rPr>
          <w:sz w:val="22"/>
          <w:szCs w:val="22"/>
        </w:rPr>
      </w:pPr>
    </w:p>
    <w:p w:rsidR="00236C8E" w:rsidRDefault="00503D87" w:rsidP="008B2B44">
      <w:pPr>
        <w:numPr>
          <w:ilvl w:val="0"/>
          <w:numId w:val="9"/>
        </w:numPr>
        <w:rPr>
          <w:sz w:val="22"/>
          <w:szCs w:val="22"/>
        </w:rPr>
      </w:pPr>
      <w:r w:rsidRPr="0011303B">
        <w:rPr>
          <w:b/>
          <w:sz w:val="22"/>
          <w:szCs w:val="22"/>
          <w:u w:val="single"/>
        </w:rPr>
        <w:t>FINANCIAL ASSURANCES</w:t>
      </w:r>
      <w:r w:rsidR="003E184D" w:rsidRPr="0011303B">
        <w:rPr>
          <w:sz w:val="22"/>
          <w:szCs w:val="22"/>
        </w:rPr>
        <w:t xml:space="preserve">: </w:t>
      </w:r>
    </w:p>
    <w:p w:rsidR="00E3370C" w:rsidRPr="0011303B" w:rsidRDefault="00532EA8" w:rsidP="00236C8E">
      <w:pPr>
        <w:ind w:left="720"/>
        <w:rPr>
          <w:sz w:val="22"/>
          <w:szCs w:val="22"/>
        </w:rPr>
      </w:pPr>
      <w:r w:rsidRPr="0011303B">
        <w:rPr>
          <w:sz w:val="22"/>
          <w:szCs w:val="22"/>
        </w:rPr>
        <w:t xml:space="preserve">Sufficient funds </w:t>
      </w:r>
      <w:r w:rsidR="0011303B">
        <w:rPr>
          <w:sz w:val="22"/>
          <w:szCs w:val="22"/>
        </w:rPr>
        <w:t>will</w:t>
      </w:r>
      <w:r w:rsidRPr="0011303B">
        <w:rPr>
          <w:sz w:val="22"/>
          <w:szCs w:val="22"/>
        </w:rPr>
        <w:t xml:space="preserve"> be available to pay for monitoring and maintenance in the future.  </w:t>
      </w:r>
      <w:r w:rsidR="00E3370C" w:rsidRPr="0011303B">
        <w:rPr>
          <w:sz w:val="22"/>
          <w:szCs w:val="22"/>
        </w:rPr>
        <w:t xml:space="preserve">The </w:t>
      </w:r>
      <w:r w:rsidR="008800CB" w:rsidRPr="0011303B">
        <w:rPr>
          <w:sz w:val="22"/>
          <w:szCs w:val="22"/>
        </w:rPr>
        <w:t>Department</w:t>
      </w:r>
      <w:r w:rsidR="00E3370C" w:rsidRPr="0011303B">
        <w:rPr>
          <w:sz w:val="22"/>
          <w:szCs w:val="22"/>
        </w:rPr>
        <w:t xml:space="preserve"> </w:t>
      </w:r>
      <w:r w:rsidRPr="0011303B">
        <w:rPr>
          <w:sz w:val="22"/>
          <w:szCs w:val="22"/>
        </w:rPr>
        <w:t>receives</w:t>
      </w:r>
      <w:r w:rsidR="0011303B">
        <w:rPr>
          <w:sz w:val="22"/>
          <w:szCs w:val="22"/>
        </w:rPr>
        <w:t xml:space="preserve"> an allocation from the North Dakota Legislature on biennium basis for road development and maintenance. Historically the NDDOT has allocated $0.5 million annually for wetland mitigation development, management and monitoring.</w:t>
      </w:r>
    </w:p>
    <w:p w:rsidR="008800CB" w:rsidRPr="0011303B" w:rsidRDefault="008800CB">
      <w:pPr>
        <w:rPr>
          <w:b/>
          <w:sz w:val="22"/>
          <w:szCs w:val="22"/>
          <w:u w:val="single"/>
        </w:rPr>
      </w:pPr>
    </w:p>
    <w:p w:rsidR="004665ED" w:rsidRDefault="004665ED" w:rsidP="007A1536">
      <w:pPr>
        <w:jc w:val="center"/>
        <w:rPr>
          <w:sz w:val="22"/>
          <w:szCs w:val="22"/>
        </w:rPr>
      </w:pPr>
    </w:p>
    <w:p w:rsidR="004665ED" w:rsidRDefault="004665ED" w:rsidP="007A1536">
      <w:pPr>
        <w:jc w:val="center"/>
        <w:rPr>
          <w:sz w:val="22"/>
          <w:szCs w:val="22"/>
        </w:rPr>
      </w:pPr>
    </w:p>
    <w:p w:rsidR="007A1536" w:rsidRPr="007A1536" w:rsidRDefault="004665ED" w:rsidP="004665ED">
      <w:pPr>
        <w:tabs>
          <w:tab w:val="left" w:pos="1187"/>
        </w:tabs>
        <w:rPr>
          <w:sz w:val="48"/>
          <w:szCs w:val="48"/>
        </w:rPr>
      </w:pPr>
      <w:r>
        <w:rPr>
          <w:sz w:val="22"/>
          <w:szCs w:val="22"/>
        </w:rPr>
        <w:tab/>
      </w:r>
    </w:p>
    <w:sectPr w:rsidR="007A1536" w:rsidRPr="007A1536" w:rsidSect="00B8607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FD5" w:rsidRDefault="00FD3FD5">
      <w:r>
        <w:separator/>
      </w:r>
    </w:p>
  </w:endnote>
  <w:endnote w:type="continuationSeparator" w:id="0">
    <w:p w:rsidR="00FD3FD5" w:rsidRDefault="00FD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0C" w:rsidRPr="009D0F0C" w:rsidRDefault="00271A75" w:rsidP="009D0F0C">
    <w:pPr>
      <w:rPr>
        <w:rFonts w:ascii="Arial" w:hAnsi="Arial" w:cs="Arial"/>
        <w:sz w:val="18"/>
        <w:szCs w:val="18"/>
      </w:rPr>
    </w:pPr>
    <w:r w:rsidRPr="009D0F0C">
      <w:rPr>
        <w:rFonts w:ascii="Arial" w:hAnsi="Arial" w:cs="Arial"/>
        <w:sz w:val="18"/>
        <w:szCs w:val="18"/>
      </w:rPr>
      <w:t>Project Number: HEN-2-052(040)244, PCN 21040</w:t>
    </w:r>
  </w:p>
  <w:p w:rsidR="009D0F0C" w:rsidRPr="009D0F0C" w:rsidRDefault="00271A75" w:rsidP="009D0F0C">
    <w:pPr>
      <w:rPr>
        <w:rFonts w:ascii="Arial" w:hAnsi="Arial" w:cs="Arial"/>
        <w:sz w:val="18"/>
        <w:szCs w:val="18"/>
      </w:rPr>
    </w:pPr>
    <w:r w:rsidRPr="009D0F0C">
      <w:rPr>
        <w:rFonts w:ascii="Arial" w:hAnsi="Arial" w:cs="Arial"/>
        <w:sz w:val="18"/>
        <w:szCs w:val="18"/>
      </w:rPr>
      <w:t>USACE Number: NWO-2016-1395-BIS</w:t>
    </w:r>
    <w:r w:rsidR="009D0F0C" w:rsidRPr="009D0F0C">
      <w:rPr>
        <w:sz w:val="18"/>
        <w:szCs w:val="18"/>
      </w:rPr>
      <w:t xml:space="preserve"> </w:t>
    </w:r>
    <w:r w:rsidR="009D0F0C" w:rsidRPr="009D0F0C">
      <w:rPr>
        <w:sz w:val="18"/>
        <w:szCs w:val="18"/>
      </w:rPr>
      <w:tab/>
    </w:r>
    <w:r w:rsidR="009D0F0C" w:rsidRPr="009D0F0C">
      <w:rPr>
        <w:sz w:val="18"/>
        <w:szCs w:val="18"/>
      </w:rPr>
      <w:tab/>
    </w:r>
    <w:r w:rsidR="009D0F0C" w:rsidRPr="009D0F0C">
      <w:rPr>
        <w:sz w:val="18"/>
        <w:szCs w:val="18"/>
      </w:rPr>
      <w:tab/>
    </w:r>
    <w:r w:rsidR="009D0F0C" w:rsidRPr="009D0F0C">
      <w:rPr>
        <w:sz w:val="18"/>
        <w:szCs w:val="18"/>
      </w:rPr>
      <w:tab/>
    </w:r>
    <w:r w:rsidR="009D0F0C" w:rsidRPr="009D0F0C">
      <w:rPr>
        <w:sz w:val="18"/>
        <w:szCs w:val="18"/>
      </w:rPr>
      <w:tab/>
    </w:r>
    <w:r w:rsidR="009D0F0C" w:rsidRPr="009D0F0C">
      <w:rPr>
        <w:sz w:val="18"/>
        <w:szCs w:val="18"/>
      </w:rPr>
      <w:tab/>
    </w:r>
    <w:r w:rsidR="009D0F0C" w:rsidRPr="009D0F0C">
      <w:rPr>
        <w:sz w:val="18"/>
        <w:szCs w:val="18"/>
      </w:rPr>
      <w:tab/>
    </w:r>
    <w:r w:rsidR="009D0F0C" w:rsidRPr="009D0F0C">
      <w:rPr>
        <w:sz w:val="18"/>
        <w:szCs w:val="18"/>
      </w:rPr>
      <w:tab/>
    </w:r>
    <w:r w:rsidR="009D0F0C" w:rsidRPr="009D0F0C">
      <w:rPr>
        <w:sz w:val="18"/>
        <w:szCs w:val="18"/>
      </w:rPr>
      <w:tab/>
    </w:r>
    <w:r w:rsidR="009D0F0C" w:rsidRPr="009D0F0C">
      <w:rPr>
        <w:sz w:val="18"/>
        <w:szCs w:val="18"/>
      </w:rPr>
      <w:tab/>
      <w:t xml:space="preserve">Page </w:t>
    </w:r>
    <w:r w:rsidR="009D0F0C" w:rsidRPr="009D0F0C">
      <w:rPr>
        <w:sz w:val="18"/>
        <w:szCs w:val="18"/>
      </w:rPr>
      <w:fldChar w:fldCharType="begin"/>
    </w:r>
    <w:r w:rsidR="009D0F0C" w:rsidRPr="009D0F0C">
      <w:rPr>
        <w:sz w:val="18"/>
        <w:szCs w:val="18"/>
      </w:rPr>
      <w:instrText xml:space="preserve"> PAGE   \* MERGEFORMAT </w:instrText>
    </w:r>
    <w:r w:rsidR="009D0F0C" w:rsidRPr="009D0F0C">
      <w:rPr>
        <w:sz w:val="18"/>
        <w:szCs w:val="18"/>
      </w:rPr>
      <w:fldChar w:fldCharType="separate"/>
    </w:r>
    <w:r w:rsidR="00DA0856">
      <w:rPr>
        <w:noProof/>
        <w:sz w:val="18"/>
        <w:szCs w:val="18"/>
      </w:rPr>
      <w:t>3</w:t>
    </w:r>
    <w:r w:rsidR="009D0F0C" w:rsidRPr="009D0F0C">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FD5" w:rsidRDefault="00FD3FD5">
      <w:r>
        <w:separator/>
      </w:r>
    </w:p>
  </w:footnote>
  <w:footnote w:type="continuationSeparator" w:id="0">
    <w:p w:rsidR="00FD3FD5" w:rsidRDefault="00FD3F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1505"/>
    <w:multiLevelType w:val="hybridMultilevel"/>
    <w:tmpl w:val="2070E722"/>
    <w:lvl w:ilvl="0" w:tplc="04090019">
      <w:start w:val="1"/>
      <w:numFmt w:val="lowerLetter"/>
      <w:lvlText w:val="%1."/>
      <w:lvlJc w:val="left"/>
      <w:pPr>
        <w:tabs>
          <w:tab w:val="num" w:pos="2250"/>
        </w:tabs>
        <w:ind w:left="2250" w:hanging="360"/>
      </w:p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
    <w:nsid w:val="0E3233C0"/>
    <w:multiLevelType w:val="hybridMultilevel"/>
    <w:tmpl w:val="CF929606"/>
    <w:lvl w:ilvl="0" w:tplc="E68AEB6C">
      <w:start w:val="11"/>
      <w:numFmt w:val="decimal"/>
      <w:lvlText w:val="%1."/>
      <w:lvlJc w:val="left"/>
      <w:pPr>
        <w:ind w:left="720" w:hanging="360"/>
      </w:pPr>
      <w:rPr>
        <w:rFonts w:hint="default"/>
      </w:r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
    <w:nsid w:val="26D863D7"/>
    <w:multiLevelType w:val="hybridMultilevel"/>
    <w:tmpl w:val="D7404978"/>
    <w:lvl w:ilvl="0" w:tplc="0409000F">
      <w:start w:val="1"/>
      <w:numFmt w:val="decimal"/>
      <w:lvlText w:val="%1."/>
      <w:lvlJc w:val="left"/>
      <w:pPr>
        <w:tabs>
          <w:tab w:val="num" w:pos="1890"/>
        </w:tabs>
        <w:ind w:left="189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nsid w:val="36593524"/>
    <w:multiLevelType w:val="hybridMultilevel"/>
    <w:tmpl w:val="3E3286D8"/>
    <w:lvl w:ilvl="0" w:tplc="9E42B73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630D42"/>
    <w:multiLevelType w:val="hybridMultilevel"/>
    <w:tmpl w:val="C3B6AE08"/>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4E357E8F"/>
    <w:multiLevelType w:val="hybridMultilevel"/>
    <w:tmpl w:val="E0606E64"/>
    <w:lvl w:ilvl="0" w:tplc="04090013">
      <w:start w:val="1"/>
      <w:numFmt w:val="upperRoman"/>
      <w:lvlText w:val="%1."/>
      <w:lvlJc w:val="righ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1A32FCA"/>
    <w:multiLevelType w:val="hybridMultilevel"/>
    <w:tmpl w:val="304894A8"/>
    <w:lvl w:ilvl="0" w:tplc="04090019">
      <w:start w:val="1"/>
      <w:numFmt w:val="lowerLetter"/>
      <w:lvlText w:val="%1."/>
      <w:lvlJc w:val="left"/>
      <w:pPr>
        <w:ind w:left="4324" w:hanging="360"/>
      </w:pPr>
    </w:lvl>
    <w:lvl w:ilvl="1" w:tplc="04090019" w:tentative="1">
      <w:start w:val="1"/>
      <w:numFmt w:val="lowerLetter"/>
      <w:lvlText w:val="%2."/>
      <w:lvlJc w:val="left"/>
      <w:pPr>
        <w:ind w:left="5044" w:hanging="360"/>
      </w:pPr>
    </w:lvl>
    <w:lvl w:ilvl="2" w:tplc="0409001B" w:tentative="1">
      <w:start w:val="1"/>
      <w:numFmt w:val="lowerRoman"/>
      <w:lvlText w:val="%3."/>
      <w:lvlJc w:val="right"/>
      <w:pPr>
        <w:ind w:left="5764" w:hanging="180"/>
      </w:pPr>
    </w:lvl>
    <w:lvl w:ilvl="3" w:tplc="0409000F" w:tentative="1">
      <w:start w:val="1"/>
      <w:numFmt w:val="decimal"/>
      <w:lvlText w:val="%4."/>
      <w:lvlJc w:val="left"/>
      <w:pPr>
        <w:ind w:left="6484" w:hanging="360"/>
      </w:pPr>
    </w:lvl>
    <w:lvl w:ilvl="4" w:tplc="04090019">
      <w:start w:val="1"/>
      <w:numFmt w:val="lowerLetter"/>
      <w:lvlText w:val="%5."/>
      <w:lvlJc w:val="left"/>
      <w:pPr>
        <w:ind w:left="7204" w:hanging="360"/>
      </w:pPr>
    </w:lvl>
    <w:lvl w:ilvl="5" w:tplc="0409001B" w:tentative="1">
      <w:start w:val="1"/>
      <w:numFmt w:val="lowerRoman"/>
      <w:lvlText w:val="%6."/>
      <w:lvlJc w:val="right"/>
      <w:pPr>
        <w:ind w:left="7924" w:hanging="180"/>
      </w:pPr>
    </w:lvl>
    <w:lvl w:ilvl="6" w:tplc="0409000F" w:tentative="1">
      <w:start w:val="1"/>
      <w:numFmt w:val="decimal"/>
      <w:lvlText w:val="%7."/>
      <w:lvlJc w:val="left"/>
      <w:pPr>
        <w:ind w:left="8644" w:hanging="360"/>
      </w:pPr>
    </w:lvl>
    <w:lvl w:ilvl="7" w:tplc="04090019" w:tentative="1">
      <w:start w:val="1"/>
      <w:numFmt w:val="lowerLetter"/>
      <w:lvlText w:val="%8."/>
      <w:lvlJc w:val="left"/>
      <w:pPr>
        <w:ind w:left="9364" w:hanging="360"/>
      </w:pPr>
    </w:lvl>
    <w:lvl w:ilvl="8" w:tplc="0409001B" w:tentative="1">
      <w:start w:val="1"/>
      <w:numFmt w:val="lowerRoman"/>
      <w:lvlText w:val="%9."/>
      <w:lvlJc w:val="right"/>
      <w:pPr>
        <w:ind w:left="10084" w:hanging="180"/>
      </w:pPr>
    </w:lvl>
  </w:abstractNum>
  <w:abstractNum w:abstractNumId="7">
    <w:nsid w:val="5CE344EB"/>
    <w:multiLevelType w:val="hybridMultilevel"/>
    <w:tmpl w:val="5B4000A0"/>
    <w:lvl w:ilvl="0" w:tplc="04090019">
      <w:start w:val="1"/>
      <w:numFmt w:val="lowerLetter"/>
      <w:lvlText w:val="%1."/>
      <w:lvlJc w:val="left"/>
      <w:pPr>
        <w:ind w:left="7204" w:hanging="360"/>
      </w:pPr>
    </w:lvl>
    <w:lvl w:ilvl="1" w:tplc="04090019" w:tentative="1">
      <w:start w:val="1"/>
      <w:numFmt w:val="lowerLetter"/>
      <w:lvlText w:val="%2."/>
      <w:lvlJc w:val="left"/>
      <w:pPr>
        <w:ind w:left="7924" w:hanging="360"/>
      </w:pPr>
    </w:lvl>
    <w:lvl w:ilvl="2" w:tplc="0409001B" w:tentative="1">
      <w:start w:val="1"/>
      <w:numFmt w:val="lowerRoman"/>
      <w:lvlText w:val="%3."/>
      <w:lvlJc w:val="right"/>
      <w:pPr>
        <w:ind w:left="8644" w:hanging="180"/>
      </w:pPr>
    </w:lvl>
    <w:lvl w:ilvl="3" w:tplc="0409000F" w:tentative="1">
      <w:start w:val="1"/>
      <w:numFmt w:val="decimal"/>
      <w:lvlText w:val="%4."/>
      <w:lvlJc w:val="left"/>
      <w:pPr>
        <w:ind w:left="9364" w:hanging="360"/>
      </w:pPr>
    </w:lvl>
    <w:lvl w:ilvl="4" w:tplc="04090019">
      <w:start w:val="1"/>
      <w:numFmt w:val="lowerLetter"/>
      <w:lvlText w:val="%5."/>
      <w:lvlJc w:val="left"/>
      <w:pPr>
        <w:ind w:left="10084" w:hanging="360"/>
      </w:pPr>
    </w:lvl>
    <w:lvl w:ilvl="5" w:tplc="0409001B" w:tentative="1">
      <w:start w:val="1"/>
      <w:numFmt w:val="lowerRoman"/>
      <w:lvlText w:val="%6."/>
      <w:lvlJc w:val="right"/>
      <w:pPr>
        <w:ind w:left="10804" w:hanging="180"/>
      </w:pPr>
    </w:lvl>
    <w:lvl w:ilvl="6" w:tplc="0409000F" w:tentative="1">
      <w:start w:val="1"/>
      <w:numFmt w:val="decimal"/>
      <w:lvlText w:val="%7."/>
      <w:lvlJc w:val="left"/>
      <w:pPr>
        <w:ind w:left="11524" w:hanging="360"/>
      </w:pPr>
    </w:lvl>
    <w:lvl w:ilvl="7" w:tplc="04090019" w:tentative="1">
      <w:start w:val="1"/>
      <w:numFmt w:val="lowerLetter"/>
      <w:lvlText w:val="%8."/>
      <w:lvlJc w:val="left"/>
      <w:pPr>
        <w:ind w:left="12244" w:hanging="360"/>
      </w:pPr>
    </w:lvl>
    <w:lvl w:ilvl="8" w:tplc="0409001B" w:tentative="1">
      <w:start w:val="1"/>
      <w:numFmt w:val="lowerRoman"/>
      <w:lvlText w:val="%9."/>
      <w:lvlJc w:val="right"/>
      <w:pPr>
        <w:ind w:left="12964" w:hanging="180"/>
      </w:pPr>
    </w:lvl>
  </w:abstractNum>
  <w:abstractNum w:abstractNumId="8">
    <w:nsid w:val="5F882507"/>
    <w:multiLevelType w:val="hybridMultilevel"/>
    <w:tmpl w:val="7B1EC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A92379"/>
    <w:multiLevelType w:val="hybridMultilevel"/>
    <w:tmpl w:val="3446AD68"/>
    <w:lvl w:ilvl="0" w:tplc="089A6856">
      <w:start w:val="1"/>
      <w:numFmt w:val="lowerLetter"/>
      <w:lvlText w:val="%1."/>
      <w:lvlJc w:val="left"/>
      <w:pPr>
        <w:tabs>
          <w:tab w:val="num" w:pos="1080"/>
        </w:tabs>
        <w:ind w:left="108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5"/>
  </w:num>
  <w:num w:numId="6">
    <w:abstractNumId w:val="3"/>
  </w:num>
  <w:num w:numId="7">
    <w:abstractNumId w:val="8"/>
  </w:num>
  <w:num w:numId="8">
    <w:abstractNumId w:val="0"/>
  </w:num>
  <w:num w:numId="9">
    <w:abstractNumId w:val="1"/>
  </w:num>
  <w:num w:numId="10">
    <w:abstractNumId w:val="6"/>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D87"/>
    <w:rsid w:val="000054DC"/>
    <w:rsid w:val="000307B5"/>
    <w:rsid w:val="00031918"/>
    <w:rsid w:val="000600F7"/>
    <w:rsid w:val="000957CE"/>
    <w:rsid w:val="000A4FD2"/>
    <w:rsid w:val="0011303B"/>
    <w:rsid w:val="001452DE"/>
    <w:rsid w:val="00146615"/>
    <w:rsid w:val="001C71C0"/>
    <w:rsid w:val="001E35D4"/>
    <w:rsid w:val="001E5C0C"/>
    <w:rsid w:val="001F5A6E"/>
    <w:rsid w:val="00225117"/>
    <w:rsid w:val="00236C8E"/>
    <w:rsid w:val="002658C4"/>
    <w:rsid w:val="00271A75"/>
    <w:rsid w:val="00295220"/>
    <w:rsid w:val="00295FD5"/>
    <w:rsid w:val="002C4380"/>
    <w:rsid w:val="002D0908"/>
    <w:rsid w:val="002F0A0A"/>
    <w:rsid w:val="00330B8B"/>
    <w:rsid w:val="0035211F"/>
    <w:rsid w:val="00372536"/>
    <w:rsid w:val="003A2864"/>
    <w:rsid w:val="003A4647"/>
    <w:rsid w:val="003E184D"/>
    <w:rsid w:val="003E49BF"/>
    <w:rsid w:val="00431420"/>
    <w:rsid w:val="00434FE6"/>
    <w:rsid w:val="0044773B"/>
    <w:rsid w:val="004565E7"/>
    <w:rsid w:val="00460979"/>
    <w:rsid w:val="00461F7E"/>
    <w:rsid w:val="004665ED"/>
    <w:rsid w:val="00483A85"/>
    <w:rsid w:val="004F0571"/>
    <w:rsid w:val="00503D87"/>
    <w:rsid w:val="00526E66"/>
    <w:rsid w:val="00532EA8"/>
    <w:rsid w:val="00533DF7"/>
    <w:rsid w:val="005367D1"/>
    <w:rsid w:val="00541645"/>
    <w:rsid w:val="005707A3"/>
    <w:rsid w:val="00580DA0"/>
    <w:rsid w:val="005845D4"/>
    <w:rsid w:val="005A7C25"/>
    <w:rsid w:val="005C59C8"/>
    <w:rsid w:val="005D11E0"/>
    <w:rsid w:val="00621FD7"/>
    <w:rsid w:val="0062360F"/>
    <w:rsid w:val="00624399"/>
    <w:rsid w:val="006655EC"/>
    <w:rsid w:val="0067180E"/>
    <w:rsid w:val="006763ED"/>
    <w:rsid w:val="00684599"/>
    <w:rsid w:val="00691250"/>
    <w:rsid w:val="006A0300"/>
    <w:rsid w:val="006A76CD"/>
    <w:rsid w:val="0076273F"/>
    <w:rsid w:val="007659E9"/>
    <w:rsid w:val="007A1536"/>
    <w:rsid w:val="007B50ED"/>
    <w:rsid w:val="007B7D65"/>
    <w:rsid w:val="007C682D"/>
    <w:rsid w:val="00804D40"/>
    <w:rsid w:val="008530EC"/>
    <w:rsid w:val="008800CB"/>
    <w:rsid w:val="008B2B44"/>
    <w:rsid w:val="008B42D9"/>
    <w:rsid w:val="008C0CE1"/>
    <w:rsid w:val="00906F81"/>
    <w:rsid w:val="00970F4F"/>
    <w:rsid w:val="009710FF"/>
    <w:rsid w:val="00981D6B"/>
    <w:rsid w:val="009844BC"/>
    <w:rsid w:val="009A421E"/>
    <w:rsid w:val="009B4C96"/>
    <w:rsid w:val="009D0F0C"/>
    <w:rsid w:val="009D2655"/>
    <w:rsid w:val="009E6FD7"/>
    <w:rsid w:val="00A212F2"/>
    <w:rsid w:val="00A27A98"/>
    <w:rsid w:val="00A805AE"/>
    <w:rsid w:val="00A90ADB"/>
    <w:rsid w:val="00AD4BA0"/>
    <w:rsid w:val="00B00BBC"/>
    <w:rsid w:val="00B25962"/>
    <w:rsid w:val="00B86073"/>
    <w:rsid w:val="00C1477B"/>
    <w:rsid w:val="00C21B22"/>
    <w:rsid w:val="00C24D62"/>
    <w:rsid w:val="00C70F87"/>
    <w:rsid w:val="00C8681C"/>
    <w:rsid w:val="00CC7F29"/>
    <w:rsid w:val="00CD031D"/>
    <w:rsid w:val="00CF2562"/>
    <w:rsid w:val="00CF31D4"/>
    <w:rsid w:val="00D1034E"/>
    <w:rsid w:val="00D42680"/>
    <w:rsid w:val="00D8562F"/>
    <w:rsid w:val="00DA0856"/>
    <w:rsid w:val="00DC5AF3"/>
    <w:rsid w:val="00DD64DE"/>
    <w:rsid w:val="00E3370C"/>
    <w:rsid w:val="00E51E04"/>
    <w:rsid w:val="00E555E6"/>
    <w:rsid w:val="00E75FC2"/>
    <w:rsid w:val="00E81377"/>
    <w:rsid w:val="00E813C7"/>
    <w:rsid w:val="00E849CE"/>
    <w:rsid w:val="00E90563"/>
    <w:rsid w:val="00EB2638"/>
    <w:rsid w:val="00EB4112"/>
    <w:rsid w:val="00ED0896"/>
    <w:rsid w:val="00EE6E9C"/>
    <w:rsid w:val="00EE7795"/>
    <w:rsid w:val="00FB73B7"/>
    <w:rsid w:val="00FD1718"/>
    <w:rsid w:val="00FD3FD5"/>
    <w:rsid w:val="00FF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FEFDDFF-E761-4AA7-B5B2-39610867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86073"/>
    <w:pPr>
      <w:tabs>
        <w:tab w:val="center" w:pos="4320"/>
        <w:tab w:val="right" w:pos="8640"/>
      </w:tabs>
    </w:pPr>
  </w:style>
  <w:style w:type="paragraph" w:styleId="Footer">
    <w:name w:val="footer"/>
    <w:basedOn w:val="Normal"/>
    <w:link w:val="FooterChar"/>
    <w:uiPriority w:val="99"/>
    <w:rsid w:val="00B86073"/>
    <w:pPr>
      <w:tabs>
        <w:tab w:val="center" w:pos="4320"/>
        <w:tab w:val="right" w:pos="8640"/>
      </w:tabs>
    </w:pPr>
  </w:style>
  <w:style w:type="paragraph" w:styleId="BalloonText">
    <w:name w:val="Balloon Text"/>
    <w:basedOn w:val="Normal"/>
    <w:semiHidden/>
    <w:rsid w:val="000054DC"/>
    <w:rPr>
      <w:rFonts w:ascii="Tahoma" w:hAnsi="Tahoma" w:cs="Tahoma"/>
      <w:sz w:val="16"/>
      <w:szCs w:val="16"/>
    </w:rPr>
  </w:style>
  <w:style w:type="paragraph" w:styleId="ListParagraph">
    <w:name w:val="List Paragraph"/>
    <w:basedOn w:val="Normal"/>
    <w:uiPriority w:val="34"/>
    <w:qFormat/>
    <w:rsid w:val="00C8681C"/>
    <w:pPr>
      <w:ind w:left="720"/>
    </w:pPr>
  </w:style>
  <w:style w:type="character" w:customStyle="1" w:styleId="FooterChar">
    <w:name w:val="Footer Char"/>
    <w:link w:val="Footer"/>
    <w:uiPriority w:val="99"/>
    <w:rsid w:val="00271A75"/>
    <w:rPr>
      <w:sz w:val="24"/>
      <w:szCs w:val="24"/>
    </w:rPr>
  </w:style>
  <w:style w:type="character" w:styleId="CommentReference">
    <w:name w:val="annotation reference"/>
    <w:uiPriority w:val="99"/>
    <w:unhideWhenUsed/>
    <w:rsid w:val="002F0A0A"/>
    <w:rPr>
      <w:sz w:val="16"/>
      <w:szCs w:val="16"/>
    </w:rPr>
  </w:style>
  <w:style w:type="paragraph" w:styleId="CommentText">
    <w:name w:val="annotation text"/>
    <w:basedOn w:val="Normal"/>
    <w:link w:val="CommentTextChar"/>
    <w:uiPriority w:val="99"/>
    <w:unhideWhenUsed/>
    <w:rsid w:val="002F0A0A"/>
    <w:rPr>
      <w:rFonts w:ascii="Calibri" w:eastAsia="Calibri" w:hAnsi="Calibri"/>
      <w:sz w:val="20"/>
      <w:szCs w:val="20"/>
    </w:rPr>
  </w:style>
  <w:style w:type="character" w:customStyle="1" w:styleId="CommentTextChar">
    <w:name w:val="Comment Text Char"/>
    <w:link w:val="CommentText"/>
    <w:uiPriority w:val="99"/>
    <w:rsid w:val="002F0A0A"/>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01711">
      <w:bodyDiv w:val="1"/>
      <w:marLeft w:val="0"/>
      <w:marRight w:val="0"/>
      <w:marTop w:val="0"/>
      <w:marBottom w:val="0"/>
      <w:divBdr>
        <w:top w:val="none" w:sz="0" w:space="0" w:color="auto"/>
        <w:left w:val="none" w:sz="0" w:space="0" w:color="auto"/>
        <w:bottom w:val="none" w:sz="0" w:space="0" w:color="auto"/>
        <w:right w:val="none" w:sz="0" w:space="0" w:color="auto"/>
      </w:divBdr>
    </w:div>
    <w:div w:id="151121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73071-03A8-4CBD-97AA-95FDC0DE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12 Components of Mitigation</vt:lpstr>
    </vt:vector>
  </TitlesOfParts>
  <Company>USACE</Company>
  <LinksUpToDate>false</LinksUpToDate>
  <CharactersWithSpaces>12082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Components of Mitigation</dc:title>
  <dc:subject/>
  <dc:creator>Omaha District</dc:creator>
  <cp:keywords/>
  <dc:description/>
  <cp:lastModifiedBy>Kessler, Steven E.</cp:lastModifiedBy>
  <cp:revision>2</cp:revision>
  <cp:lastPrinted>2017-03-14T12:43:00Z</cp:lastPrinted>
  <dcterms:created xsi:type="dcterms:W3CDTF">2017-03-14T12:44:00Z</dcterms:created>
  <dcterms:modified xsi:type="dcterms:W3CDTF">2017-03-14T12:44:00Z</dcterms:modified>
</cp:coreProperties>
</file>