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33" w:rsidRPr="00E14B33" w:rsidRDefault="001550D4" w:rsidP="00A16354">
      <w:pPr>
        <w:jc w:val="center"/>
        <w:rPr>
          <w:b/>
          <w:sz w:val="24"/>
        </w:rPr>
      </w:pPr>
      <w:r w:rsidRPr="001550D4">
        <w:rPr>
          <w:b/>
          <w:noProof/>
          <w:sz w:val="24"/>
        </w:rPr>
        <mc:AlternateContent>
          <mc:Choice Requires="wps">
            <w:drawing>
              <wp:anchor distT="0" distB="0" distL="114300" distR="114300" simplePos="0" relativeHeight="251659264" behindDoc="0" locked="0" layoutInCell="1" allowOverlap="1" wp14:editId="36B11C9B">
                <wp:simplePos x="0" y="0"/>
                <wp:positionH relativeFrom="column">
                  <wp:posOffset>-379562</wp:posOffset>
                </wp:positionH>
                <wp:positionV relativeFrom="paragraph">
                  <wp:posOffset>-379562</wp:posOffset>
                </wp:positionV>
                <wp:extent cx="6642339" cy="1403985"/>
                <wp:effectExtent l="0" t="0" r="2540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339" cy="1403985"/>
                        </a:xfrm>
                        <a:prstGeom prst="rect">
                          <a:avLst/>
                        </a:prstGeom>
                        <a:solidFill>
                          <a:srgbClr val="FFFFFF"/>
                        </a:solidFill>
                        <a:ln w="9525">
                          <a:solidFill>
                            <a:srgbClr val="000000"/>
                          </a:solidFill>
                          <a:miter lim="800000"/>
                          <a:headEnd/>
                          <a:tailEnd/>
                        </a:ln>
                      </wps:spPr>
                      <wps:txbx>
                        <w:txbxContent>
                          <w:p w:rsidR="001550D4" w:rsidRDefault="001550D4">
                            <w:r w:rsidRPr="001550D4">
                              <w:t>Appendix E</w:t>
                            </w:r>
                            <w:r>
                              <w:t>8</w:t>
                            </w:r>
                            <w:r w:rsidRPr="001550D4">
                              <w:tab/>
                            </w:r>
                            <w:r w:rsidRPr="001550D4">
                              <w:tab/>
                            </w:r>
                            <w:r w:rsidRPr="001550D4">
                              <w:tab/>
                            </w:r>
                            <w:r w:rsidRPr="001550D4">
                              <w:tab/>
                            </w:r>
                            <w:r w:rsidRPr="001550D4">
                              <w:tab/>
                            </w:r>
                            <w:r w:rsidRPr="001550D4">
                              <w:tab/>
                            </w:r>
                            <w:r w:rsidRPr="001550D4">
                              <w:tab/>
                            </w:r>
                            <w:r w:rsidRPr="001550D4">
                              <w:tab/>
                            </w:r>
                            <w:r w:rsidRPr="001550D4">
                              <w:tab/>
                            </w:r>
                            <w:r>
                              <w:tab/>
                            </w:r>
                            <w:proofErr w:type="gramStart"/>
                            <w:r>
                              <w:t>June  2015</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pt;margin-top:-29.9pt;width:52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">
                <v:textbox style="mso-fit-shape-to-text:t">
                  <w:txbxContent>
                    <w:p w:rsidR="001550D4" w:rsidRDefault="001550D4">
                      <w:r w:rsidRPr="001550D4">
                        <w:t>Appendix E</w:t>
                      </w:r>
                      <w:r>
                        <w:t>8</w:t>
                      </w:r>
                      <w:r w:rsidRPr="001550D4">
                        <w:tab/>
                      </w:r>
                      <w:r w:rsidRPr="001550D4">
                        <w:tab/>
                      </w:r>
                      <w:r w:rsidRPr="001550D4">
                        <w:tab/>
                      </w:r>
                      <w:r w:rsidRPr="001550D4">
                        <w:tab/>
                      </w:r>
                      <w:r w:rsidRPr="001550D4">
                        <w:tab/>
                      </w:r>
                      <w:r w:rsidRPr="001550D4">
                        <w:tab/>
                      </w:r>
                      <w:r w:rsidRPr="001550D4">
                        <w:tab/>
                      </w:r>
                      <w:r w:rsidRPr="001550D4">
                        <w:tab/>
                      </w:r>
                      <w:r w:rsidRPr="001550D4">
                        <w:tab/>
                      </w:r>
                      <w:r>
                        <w:tab/>
                      </w:r>
                      <w:proofErr w:type="gramStart"/>
                      <w:r>
                        <w:t>June  2015</w:t>
                      </w:r>
                      <w:proofErr w:type="gramEnd"/>
                    </w:p>
                  </w:txbxContent>
                </v:textbox>
              </v:shape>
            </w:pict>
          </mc:Fallback>
        </mc:AlternateContent>
      </w:r>
      <w:r w:rsidR="00E14B33" w:rsidRPr="00E14B33">
        <w:rPr>
          <w:b/>
          <w:sz w:val="24"/>
        </w:rPr>
        <w:t xml:space="preserve">Scope of Services Template </w:t>
      </w:r>
    </w:p>
    <w:p w:rsidR="00A16354" w:rsidRPr="00E14B33" w:rsidRDefault="00A16354" w:rsidP="00A16354">
      <w:pPr>
        <w:jc w:val="center"/>
        <w:rPr>
          <w:sz w:val="24"/>
        </w:rPr>
      </w:pPr>
      <w:r w:rsidRPr="00E14B33">
        <w:rPr>
          <w:sz w:val="24"/>
        </w:rPr>
        <w:t>Wetland</w:t>
      </w:r>
      <w:r w:rsidR="00E04E36" w:rsidRPr="00E14B33">
        <w:rPr>
          <w:sz w:val="24"/>
        </w:rPr>
        <w:t xml:space="preserve"> </w:t>
      </w:r>
      <w:r w:rsidR="00E14B33" w:rsidRPr="00E14B33">
        <w:rPr>
          <w:sz w:val="24"/>
        </w:rPr>
        <w:t xml:space="preserve">Mitigation </w:t>
      </w:r>
      <w:r w:rsidR="00E04E36" w:rsidRPr="00E14B33">
        <w:rPr>
          <w:sz w:val="24"/>
        </w:rPr>
        <w:t>Monitori</w:t>
      </w:r>
      <w:bookmarkStart w:id="0" w:name="_GoBack"/>
      <w:bookmarkEnd w:id="0"/>
      <w:r w:rsidR="00E04E36" w:rsidRPr="00E14B33">
        <w:rPr>
          <w:sz w:val="24"/>
        </w:rPr>
        <w:t>ng</w:t>
      </w:r>
    </w:p>
    <w:p w:rsidR="00A81674" w:rsidRPr="00E14B33" w:rsidRDefault="00A81674" w:rsidP="00A81674">
      <w:pPr>
        <w:jc w:val="center"/>
        <w:rPr>
          <w:sz w:val="24"/>
        </w:rPr>
      </w:pPr>
      <w:r w:rsidRPr="00E14B33">
        <w:rPr>
          <w:sz w:val="24"/>
        </w:rPr>
        <w:t>DATE</w:t>
      </w:r>
    </w:p>
    <w:p w:rsidR="00A16354" w:rsidRDefault="00A16354" w:rsidP="00A16354"/>
    <w:p w:rsidR="00A16354" w:rsidRPr="00E14B33" w:rsidRDefault="00A16354" w:rsidP="00A16354">
      <w:pPr>
        <w:rPr>
          <w:b/>
        </w:rPr>
      </w:pPr>
      <w:r w:rsidRPr="00E14B33">
        <w:rPr>
          <w:b/>
        </w:rPr>
        <w:t>I.</w:t>
      </w:r>
      <w:r w:rsidRPr="00E14B33">
        <w:rPr>
          <w:b/>
        </w:rPr>
        <w:tab/>
        <w:t>DESCRIPTION</w:t>
      </w:r>
    </w:p>
    <w:p w:rsidR="00A16354" w:rsidRDefault="00A16354" w:rsidP="00A16354"/>
    <w:p w:rsidR="00A16354" w:rsidRDefault="00A16354" w:rsidP="00A16354">
      <w:r>
        <w:t xml:space="preserve">FIRM will conduct </w:t>
      </w:r>
      <w:r w:rsidR="00E04E36">
        <w:t>wetland mitigation monitoring to help determine if criteria outlined in the</w:t>
      </w:r>
      <w:r w:rsidR="00060590">
        <w:t xml:space="preserve"> mitigation site plans</w:t>
      </w:r>
      <w:r w:rsidR="00E04E36">
        <w:t xml:space="preserve"> are being met. </w:t>
      </w:r>
    </w:p>
    <w:p w:rsidR="00A16354" w:rsidRDefault="00A16354" w:rsidP="00A16354"/>
    <w:p w:rsidR="00A16354" w:rsidRDefault="00A16354" w:rsidP="00A16354">
      <w:r>
        <w:t xml:space="preserve">The </w:t>
      </w:r>
      <w:r w:rsidR="00E04E36">
        <w:t>mitigation site</w:t>
      </w:r>
      <w:r w:rsidR="00E14B33">
        <w:t>(s) are listed in Attachment 1 and include group ____</w:t>
      </w:r>
      <w:r w:rsidR="00445A95">
        <w:t xml:space="preserve">.  </w:t>
      </w:r>
    </w:p>
    <w:p w:rsidR="00A16354" w:rsidRDefault="00A16354" w:rsidP="00A16354"/>
    <w:p w:rsidR="00A16354" w:rsidRPr="00E14B33" w:rsidRDefault="00A16354" w:rsidP="00A16354">
      <w:pPr>
        <w:rPr>
          <w:b/>
        </w:rPr>
      </w:pPr>
      <w:r w:rsidRPr="00E14B33">
        <w:rPr>
          <w:b/>
        </w:rPr>
        <w:t>II.</w:t>
      </w:r>
      <w:r w:rsidRPr="00E14B33">
        <w:rPr>
          <w:b/>
        </w:rPr>
        <w:tab/>
        <w:t>SERVICES TO BE PERFORMED</w:t>
      </w:r>
    </w:p>
    <w:p w:rsidR="00A16354" w:rsidRDefault="00A16354" w:rsidP="00A16354"/>
    <w:p w:rsidR="006518D3" w:rsidRDefault="00A16354" w:rsidP="00A16354">
      <w:r>
        <w:t xml:space="preserve">FIRM is responsible for conducting </w:t>
      </w:r>
      <w:r w:rsidR="00C146B6">
        <w:t xml:space="preserve">wetland mitigation site monitoring that may include </w:t>
      </w:r>
      <w:r>
        <w:t xml:space="preserve">wetland </w:t>
      </w:r>
      <w:r w:rsidR="006518D3">
        <w:t>delineation</w:t>
      </w:r>
      <w:r w:rsidR="00C146B6">
        <w:t>s</w:t>
      </w:r>
      <w:r w:rsidR="000F0940">
        <w:t xml:space="preserve">, </w:t>
      </w:r>
      <w:r>
        <w:t>in accordance with the 1987 Wetland Delineation Manu</w:t>
      </w:r>
      <w:r w:rsidR="0012627B">
        <w:t>al</w:t>
      </w:r>
      <w:r w:rsidR="007C0117">
        <w:t xml:space="preserve">, </w:t>
      </w:r>
      <w:r w:rsidR="007C0117" w:rsidRPr="007C0117">
        <w:t>Regional Supplement to the Corps of Engineers Wetland Delineation Manual: Great Plains Region, as well as the NDDOT Design Manual</w:t>
      </w:r>
      <w:r w:rsidR="00A81674">
        <w:t>:</w:t>
      </w:r>
      <w:r w:rsidR="00C146B6">
        <w:t xml:space="preserve"> wetland buffer and adjacent upland monitoring.  All work will be done in accordance with the mitigat</w:t>
      </w:r>
      <w:r w:rsidR="004E1CBC">
        <w:t xml:space="preserve">ion plan developed for the site or </w:t>
      </w:r>
      <w:r w:rsidR="00C146B6">
        <w:t>bank</w:t>
      </w:r>
      <w:r w:rsidR="004E1CBC">
        <w:t xml:space="preserve"> site</w:t>
      </w:r>
      <w:r w:rsidR="00C146B6">
        <w:t xml:space="preserve">.  </w:t>
      </w:r>
    </w:p>
    <w:p w:rsidR="00C146B6" w:rsidRDefault="00C146B6" w:rsidP="00A16354"/>
    <w:p w:rsidR="006518D3" w:rsidRDefault="006518D3" w:rsidP="006518D3">
      <w:pPr>
        <w:pStyle w:val="ListParagraph"/>
        <w:numPr>
          <w:ilvl w:val="0"/>
          <w:numId w:val="1"/>
        </w:numPr>
      </w:pPr>
      <w:r>
        <w:t>Project Management</w:t>
      </w:r>
    </w:p>
    <w:p w:rsidR="00793257" w:rsidRDefault="00793257" w:rsidP="00793257">
      <w:pPr>
        <w:pStyle w:val="ListParagraph"/>
      </w:pPr>
    </w:p>
    <w:p w:rsidR="00793257" w:rsidRDefault="00793257" w:rsidP="006518D3">
      <w:pPr>
        <w:pStyle w:val="ListParagraph"/>
        <w:numPr>
          <w:ilvl w:val="0"/>
          <w:numId w:val="2"/>
        </w:numPr>
      </w:pPr>
      <w:r>
        <w:t>Project Development and Staff Meetings</w:t>
      </w:r>
    </w:p>
    <w:p w:rsidR="00793257" w:rsidRDefault="00793257" w:rsidP="00793257">
      <w:pPr>
        <w:pStyle w:val="ListParagraph"/>
        <w:ind w:left="1080"/>
      </w:pPr>
    </w:p>
    <w:p w:rsidR="00793257" w:rsidRDefault="00793257" w:rsidP="00793257">
      <w:pPr>
        <w:pStyle w:val="ListParagraph"/>
        <w:ind w:left="1080"/>
      </w:pPr>
      <w:r>
        <w:t xml:space="preserve">The Consultant Project Manager will monitor the project milestones and schedule activities to meet the project deliverable date. The Project Manager will meet with staff and coordinate </w:t>
      </w:r>
      <w:r w:rsidR="00A41CAA">
        <w:t>schedule.</w:t>
      </w:r>
    </w:p>
    <w:p w:rsidR="00793257" w:rsidRDefault="00793257" w:rsidP="00793257">
      <w:pPr>
        <w:pStyle w:val="ListParagraph"/>
        <w:ind w:left="1080"/>
      </w:pPr>
    </w:p>
    <w:p w:rsidR="006518D3" w:rsidRDefault="006518D3" w:rsidP="006518D3">
      <w:pPr>
        <w:pStyle w:val="ListParagraph"/>
        <w:numPr>
          <w:ilvl w:val="0"/>
          <w:numId w:val="2"/>
        </w:numPr>
      </w:pPr>
      <w:r>
        <w:t>Coordination Meetings with NDDOT</w:t>
      </w:r>
    </w:p>
    <w:p w:rsidR="006518D3" w:rsidRDefault="006518D3" w:rsidP="006518D3">
      <w:pPr>
        <w:pStyle w:val="ListParagraph"/>
        <w:ind w:left="1080"/>
      </w:pPr>
    </w:p>
    <w:p w:rsidR="006518D3" w:rsidRDefault="006518D3" w:rsidP="006518D3">
      <w:pPr>
        <w:pStyle w:val="ListParagraph"/>
        <w:ind w:left="1080"/>
      </w:pPr>
      <w:r>
        <w:t>The Consultant shall have a representative available for meeting</w:t>
      </w:r>
      <w:r w:rsidR="00F24E8A">
        <w:t>s</w:t>
      </w:r>
      <w:r>
        <w:t xml:space="preserve"> with NDDOT to discuss and review the schedule, current status, and other issues throughout the duration of the project. Meeting minutes will be prepared and distributed to meeting attendees.</w:t>
      </w:r>
    </w:p>
    <w:p w:rsidR="006518D3" w:rsidRDefault="006518D3" w:rsidP="006518D3">
      <w:pPr>
        <w:pStyle w:val="ListParagraph"/>
        <w:ind w:left="1080"/>
      </w:pPr>
    </w:p>
    <w:p w:rsidR="006518D3" w:rsidRDefault="006518D3" w:rsidP="006518D3">
      <w:pPr>
        <w:pStyle w:val="ListParagraph"/>
        <w:numPr>
          <w:ilvl w:val="0"/>
          <w:numId w:val="2"/>
        </w:numPr>
      </w:pPr>
      <w:r>
        <w:t xml:space="preserve">Coordination Meetings with </w:t>
      </w:r>
      <w:proofErr w:type="spellStart"/>
      <w:r>
        <w:t>Subconsultant</w:t>
      </w:r>
      <w:proofErr w:type="spellEnd"/>
    </w:p>
    <w:p w:rsidR="006518D3" w:rsidRDefault="006518D3" w:rsidP="006518D3">
      <w:pPr>
        <w:pStyle w:val="ListParagraph"/>
        <w:ind w:left="1080"/>
      </w:pPr>
    </w:p>
    <w:p w:rsidR="006518D3" w:rsidRDefault="006518D3" w:rsidP="006518D3">
      <w:pPr>
        <w:pStyle w:val="ListParagraph"/>
        <w:ind w:left="1080"/>
      </w:pPr>
      <w:r>
        <w:t xml:space="preserve">The Consultant shall coordinate with </w:t>
      </w:r>
      <w:proofErr w:type="spellStart"/>
      <w:r>
        <w:t>subconsultants</w:t>
      </w:r>
      <w:proofErr w:type="spellEnd"/>
      <w:r>
        <w:t xml:space="preserve"> as needed during the project.</w:t>
      </w:r>
    </w:p>
    <w:p w:rsidR="006518D3" w:rsidRDefault="006518D3" w:rsidP="006518D3">
      <w:pPr>
        <w:pStyle w:val="ListParagraph"/>
        <w:ind w:left="1080"/>
      </w:pPr>
    </w:p>
    <w:p w:rsidR="006518D3" w:rsidRDefault="006518D3" w:rsidP="006518D3">
      <w:pPr>
        <w:pStyle w:val="ListParagraph"/>
        <w:numPr>
          <w:ilvl w:val="0"/>
          <w:numId w:val="2"/>
        </w:numPr>
      </w:pPr>
      <w:r>
        <w:t>QC/QA Reviews</w:t>
      </w:r>
    </w:p>
    <w:p w:rsidR="006518D3" w:rsidRDefault="006518D3" w:rsidP="006518D3">
      <w:pPr>
        <w:pStyle w:val="ListParagraph"/>
        <w:ind w:left="1080"/>
      </w:pPr>
    </w:p>
    <w:p w:rsidR="006518D3" w:rsidRDefault="006518D3" w:rsidP="006518D3">
      <w:pPr>
        <w:pStyle w:val="ListParagraph"/>
        <w:ind w:left="1080"/>
      </w:pPr>
      <w:r>
        <w:t>The Consultants shall conduct QC/QA reviews in accordance with their QC/QA plan</w:t>
      </w:r>
      <w:r w:rsidR="009C646A">
        <w:t>, as outlined in the proposal. The QC/QA process will be documented and a redline/review document shall be attached to submittals, if requested.</w:t>
      </w:r>
    </w:p>
    <w:p w:rsidR="00CC2BDB" w:rsidRDefault="00CC2BDB" w:rsidP="006518D3">
      <w:pPr>
        <w:pStyle w:val="ListParagraph"/>
        <w:ind w:left="1080"/>
      </w:pPr>
    </w:p>
    <w:p w:rsidR="006518D3" w:rsidRDefault="009C646A" w:rsidP="009C646A">
      <w:pPr>
        <w:pStyle w:val="ListParagraph"/>
        <w:numPr>
          <w:ilvl w:val="0"/>
          <w:numId w:val="2"/>
        </w:numPr>
      </w:pPr>
      <w:r>
        <w:t>Invoicing</w:t>
      </w:r>
      <w:r w:rsidR="00793257">
        <w:t>/Progress Reporting</w:t>
      </w:r>
    </w:p>
    <w:p w:rsidR="009C646A" w:rsidRDefault="009C646A" w:rsidP="009C646A">
      <w:pPr>
        <w:ind w:left="720"/>
      </w:pPr>
    </w:p>
    <w:p w:rsidR="006518D3" w:rsidRDefault="0076074A" w:rsidP="009C646A">
      <w:pPr>
        <w:pStyle w:val="ListParagraph"/>
        <w:ind w:left="1080"/>
      </w:pPr>
      <w:r>
        <w:t>The Consultant shall provide monthly i</w:t>
      </w:r>
      <w:r w:rsidR="009C646A">
        <w:t>nvoices</w:t>
      </w:r>
      <w:r w:rsidR="00793257">
        <w:t xml:space="preserve"> and </w:t>
      </w:r>
      <w:r w:rsidR="00F24E8A">
        <w:t xml:space="preserve">bi-weekly </w:t>
      </w:r>
      <w:r w:rsidR="00793257">
        <w:t>progress reports</w:t>
      </w:r>
      <w:r>
        <w:t>.</w:t>
      </w:r>
      <w:r w:rsidR="009C646A">
        <w:t xml:space="preserve"> </w:t>
      </w:r>
      <w:r w:rsidR="007B742B">
        <w:t xml:space="preserve">The progress reports shall describe in detail the work performed by each task and identifies the remaining </w:t>
      </w:r>
      <w:r w:rsidR="007B742B">
        <w:lastRenderedPageBreak/>
        <w:t>tasks.</w:t>
      </w:r>
      <w:r w:rsidR="00E14B33">
        <w:t xml:space="preserve">  The </w:t>
      </w:r>
      <w:r w:rsidR="00F24E8A">
        <w:t>bi-weekly</w:t>
      </w:r>
      <w:r w:rsidR="00E14B33">
        <w:t xml:space="preserve"> progress reports and </w:t>
      </w:r>
      <w:r w:rsidR="00F24E8A">
        <w:t xml:space="preserve">monthly </w:t>
      </w:r>
      <w:r w:rsidR="00E14B33">
        <w:t xml:space="preserve">invoices shall also keep track of </w:t>
      </w:r>
      <w:proofErr w:type="gramStart"/>
      <w:r w:rsidR="00E14B33">
        <w:t>each mitigation</w:t>
      </w:r>
      <w:proofErr w:type="gramEnd"/>
      <w:r w:rsidR="00E14B33">
        <w:t xml:space="preserve"> monitoring site by </w:t>
      </w:r>
      <w:r w:rsidR="00E14B33" w:rsidRPr="00CC2BDB">
        <w:rPr>
          <w:b/>
        </w:rPr>
        <w:t>PCN number</w:t>
      </w:r>
      <w:r w:rsidR="00E14B33">
        <w:t xml:space="preserve">.  </w:t>
      </w:r>
      <w:r w:rsidR="007B742B">
        <w:t xml:space="preserve"> </w:t>
      </w:r>
      <w:r>
        <w:t>The invoices</w:t>
      </w:r>
      <w:r w:rsidR="00793257">
        <w:t xml:space="preserve"> </w:t>
      </w:r>
      <w:r w:rsidR="00793257" w:rsidRPr="00E14B33">
        <w:rPr>
          <w:b/>
          <w:i/>
          <w:u w:val="single"/>
        </w:rPr>
        <w:t>must</w:t>
      </w:r>
      <w:r w:rsidR="009C646A">
        <w:t xml:space="preserve"> be accompanied by the SFN </w:t>
      </w:r>
      <w:r w:rsidR="00807B6C">
        <w:t>58397</w:t>
      </w:r>
      <w:r w:rsidR="00793257">
        <w:t xml:space="preserve"> Consultant Billing Cover Form.</w:t>
      </w:r>
      <w:r w:rsidR="00E14B33">
        <w:t xml:space="preserve">  </w:t>
      </w:r>
    </w:p>
    <w:p w:rsidR="00793257" w:rsidRDefault="00793257" w:rsidP="009C646A">
      <w:pPr>
        <w:pStyle w:val="ListParagraph"/>
        <w:ind w:left="1080"/>
      </w:pPr>
    </w:p>
    <w:p w:rsidR="00A41CAA" w:rsidRDefault="00E04E36" w:rsidP="00A41CAA">
      <w:pPr>
        <w:pStyle w:val="ListParagraph"/>
        <w:numPr>
          <w:ilvl w:val="0"/>
          <w:numId w:val="1"/>
        </w:numPr>
      </w:pPr>
      <w:r>
        <w:t xml:space="preserve">Monitoring </w:t>
      </w:r>
      <w:r w:rsidR="00A41CAA">
        <w:t>Services</w:t>
      </w:r>
    </w:p>
    <w:p w:rsidR="009C1BC0" w:rsidRDefault="009C1BC0" w:rsidP="009C1BC0">
      <w:pPr>
        <w:pStyle w:val="ListParagraph"/>
      </w:pPr>
    </w:p>
    <w:p w:rsidR="00A41CAA" w:rsidRDefault="00A41CAA" w:rsidP="00A41CAA">
      <w:pPr>
        <w:pStyle w:val="ListParagraph"/>
        <w:numPr>
          <w:ilvl w:val="0"/>
          <w:numId w:val="3"/>
        </w:numPr>
      </w:pPr>
      <w:r>
        <w:t>Data Collection</w:t>
      </w:r>
    </w:p>
    <w:p w:rsidR="00A41CAA" w:rsidRDefault="00A41CAA" w:rsidP="00A41CAA"/>
    <w:p w:rsidR="00CC2BDB" w:rsidRDefault="00CC2BDB" w:rsidP="00A41CAA">
      <w:pPr>
        <w:ind w:left="720"/>
      </w:pPr>
      <w:r>
        <w:t xml:space="preserve">The Consultant will review all planning documents of the proposed mitigation sites to familiarize themselves with previously collected data and proposed wetland design and functions.  </w:t>
      </w:r>
    </w:p>
    <w:p w:rsidR="00A41CAA" w:rsidRDefault="00A41CAA" w:rsidP="00A41CAA"/>
    <w:p w:rsidR="006518D3" w:rsidRDefault="00A41CAA" w:rsidP="00A41CAA">
      <w:pPr>
        <w:pStyle w:val="ListParagraph"/>
        <w:numPr>
          <w:ilvl w:val="0"/>
          <w:numId w:val="3"/>
        </w:numPr>
      </w:pPr>
      <w:r>
        <w:t xml:space="preserve">Wetland Delineation </w:t>
      </w:r>
    </w:p>
    <w:p w:rsidR="006518D3" w:rsidRDefault="006518D3" w:rsidP="00A41CAA">
      <w:pPr>
        <w:pStyle w:val="ListParagraph"/>
      </w:pPr>
    </w:p>
    <w:p w:rsidR="00F24E8A" w:rsidRDefault="00A41CAA" w:rsidP="00A41CAA">
      <w:pPr>
        <w:pStyle w:val="ListParagraph"/>
      </w:pPr>
      <w:r>
        <w:t xml:space="preserve">The Consultant will conduct </w:t>
      </w:r>
      <w:proofErr w:type="gramStart"/>
      <w:r>
        <w:t>a field</w:t>
      </w:r>
      <w:proofErr w:type="gramEnd"/>
      <w:r>
        <w:t xml:space="preserve"> delineation in a</w:t>
      </w:r>
      <w:r w:rsidR="0012627B">
        <w:t>c</w:t>
      </w:r>
      <w:r>
        <w:t>co</w:t>
      </w:r>
      <w:r w:rsidR="0012627B">
        <w:t>rdance with the me</w:t>
      </w:r>
      <w:r>
        <w:t xml:space="preserve">thods described in the </w:t>
      </w:r>
      <w:r w:rsidR="00F24E8A">
        <w:t>NDDOT Design Manual, Chapter II Section IV: Wetlands, Vegetation, and Environmental Permitting</w:t>
      </w:r>
      <w:r w:rsidR="009C1FB8">
        <w:t xml:space="preserve">.  See appendix A6 for required final report.  </w:t>
      </w:r>
    </w:p>
    <w:p w:rsidR="00CC2BDB" w:rsidRDefault="00CC2BDB" w:rsidP="00176953"/>
    <w:p w:rsidR="00CC2BDB" w:rsidRDefault="00CC2BDB" w:rsidP="00CC2BDB">
      <w:pPr>
        <w:ind w:left="720"/>
      </w:pPr>
      <w:r>
        <w:t>The Consultant will prepare</w:t>
      </w:r>
      <w:r w:rsidRPr="00E04E36">
        <w:t xml:space="preserve"> wetland delineation maps, wetland buffer and adjacent upland maps for the mitigation sites using the most current</w:t>
      </w:r>
      <w:r>
        <w:t xml:space="preserve"> aerial photography.  The maps will depict the planned and current wetland, buffer and adjacent upland boundaries as applicable to mitigation site plans. </w:t>
      </w:r>
      <w:r w:rsidR="00176953">
        <w:t xml:space="preserve">The Consultant will collect OHW elevations in areas where applicable.   </w:t>
      </w:r>
    </w:p>
    <w:p w:rsidR="00CC2BDB" w:rsidRDefault="00CC2BDB" w:rsidP="00CC2BDB">
      <w:pPr>
        <w:ind w:left="720"/>
      </w:pPr>
    </w:p>
    <w:p w:rsidR="00CC2BDB" w:rsidRDefault="00CC2BDB" w:rsidP="00CC2BDB">
      <w:pPr>
        <w:ind w:left="720"/>
      </w:pPr>
      <w:r>
        <w:t xml:space="preserve">The Consultant will complete Data Sheets documenting hydrophytic vegetation, hydrology and soils for each wetland mitigation basin. </w:t>
      </w:r>
    </w:p>
    <w:p w:rsidR="00CC2BDB" w:rsidRDefault="00CC2BDB" w:rsidP="00CC2BDB">
      <w:pPr>
        <w:ind w:left="720"/>
      </w:pPr>
    </w:p>
    <w:p w:rsidR="00CC2BDB" w:rsidRDefault="00CC2BDB" w:rsidP="00CC2BDB">
      <w:pPr>
        <w:ind w:left="720"/>
      </w:pPr>
      <w:r>
        <w:t>If planned success criteria, according to prescribed design plans and permit conditions are not being met, the Consultant will develop an adaptive management plan to bring the mitigation sites to original construction specifications and include in the Monitoring Report.</w:t>
      </w:r>
    </w:p>
    <w:p w:rsidR="00CC2BDB" w:rsidRDefault="00CC2BDB" w:rsidP="00CC2BDB">
      <w:pPr>
        <w:ind w:left="720"/>
      </w:pPr>
    </w:p>
    <w:p w:rsidR="00CC2BDB" w:rsidRDefault="00CC2BDB" w:rsidP="00CC2BDB">
      <w:pPr>
        <w:ind w:left="720"/>
      </w:pPr>
      <w:r>
        <w:t>The Consultant will conduct photo-point monitoring; photos should be taken from the same designated point</w:t>
      </w:r>
      <w:r w:rsidR="00176953">
        <w:t>, in the same direction,</w:t>
      </w:r>
      <w:r>
        <w:t xml:space="preserve"> at approximately the same time of year during the growing season.  Repeated photographs will be taken at permanent locations located by recorded GPS coordinates.  Photographs that include a distinctive landmark in the background or on the horizon are easier to relocate.  Previous photographs can also be helpful in “framing” the photo consistently from year to year.  Photos that depict the wetland buffer will help define the setting.</w:t>
      </w:r>
    </w:p>
    <w:p w:rsidR="00CC2BDB" w:rsidRDefault="00CC2BDB" w:rsidP="00CC2BDB">
      <w:pPr>
        <w:pStyle w:val="ListParagraph"/>
      </w:pPr>
    </w:p>
    <w:p w:rsidR="00CC2BDB" w:rsidRDefault="00CC2BDB" w:rsidP="00CC2BDB">
      <w:pPr>
        <w:pStyle w:val="ListParagraph"/>
      </w:pPr>
      <w:r>
        <w:t xml:space="preserve">The Consultant is responsible for landowner </w:t>
      </w:r>
      <w:r w:rsidR="00176953" w:rsidRPr="00176953">
        <w:t>notification</w:t>
      </w:r>
      <w:r>
        <w:t xml:space="preserve"> to access property as needed. </w:t>
      </w:r>
    </w:p>
    <w:p w:rsidR="00A41CAA" w:rsidRDefault="00A41CAA" w:rsidP="00367995"/>
    <w:p w:rsidR="00E04E36" w:rsidRDefault="00E04E36" w:rsidP="00E04E36">
      <w:pPr>
        <w:pStyle w:val="ListParagraph"/>
        <w:numPr>
          <w:ilvl w:val="0"/>
          <w:numId w:val="3"/>
        </w:numPr>
      </w:pPr>
      <w:r>
        <w:t xml:space="preserve">Buffer Delineation </w:t>
      </w:r>
    </w:p>
    <w:p w:rsidR="00E04E36" w:rsidRDefault="00E04E36" w:rsidP="00E04E36">
      <w:pPr>
        <w:pStyle w:val="ListParagraph"/>
        <w:ind w:left="1080"/>
      </w:pPr>
    </w:p>
    <w:p w:rsidR="00E04E36" w:rsidRDefault="00E04E36" w:rsidP="00E04E36">
      <w:pPr>
        <w:ind w:left="720"/>
      </w:pPr>
      <w:r>
        <w:t xml:space="preserve">Where applicable, the Consultant will delineate the buffer and determine if criteria are being met according </w:t>
      </w:r>
      <w:r w:rsidR="00C146B6">
        <w:t xml:space="preserve">to </w:t>
      </w:r>
      <w:r>
        <w:t xml:space="preserve">the </w:t>
      </w:r>
      <w:r w:rsidR="00C146B6">
        <w:t xml:space="preserve">mitigation plan applicable to </w:t>
      </w:r>
      <w:r>
        <w:t>each mitigation site.</w:t>
      </w:r>
      <w:r w:rsidR="00CC2BDB">
        <w:t xml:space="preserve">  Adjacent vegetation required as a buffer in the mitigation plan will be monitored for continuity, width and species composition.  </w:t>
      </w:r>
    </w:p>
    <w:p w:rsidR="00E04E36" w:rsidRDefault="00E04E36" w:rsidP="00E04E36">
      <w:pPr>
        <w:pStyle w:val="ListParagraph"/>
        <w:ind w:left="1080"/>
      </w:pPr>
    </w:p>
    <w:p w:rsidR="009C1FB8" w:rsidRDefault="009C1FB8" w:rsidP="00E04E36">
      <w:pPr>
        <w:pStyle w:val="ListParagraph"/>
        <w:ind w:left="1080"/>
      </w:pPr>
    </w:p>
    <w:p w:rsidR="009C1FB8" w:rsidRDefault="009C1FB8" w:rsidP="00E04E36">
      <w:pPr>
        <w:pStyle w:val="ListParagraph"/>
        <w:ind w:left="1080"/>
      </w:pPr>
    </w:p>
    <w:p w:rsidR="00E04E36" w:rsidRDefault="00E04E36" w:rsidP="00E04E36">
      <w:pPr>
        <w:pStyle w:val="ListParagraph"/>
        <w:numPr>
          <w:ilvl w:val="0"/>
          <w:numId w:val="3"/>
        </w:numPr>
      </w:pPr>
      <w:r>
        <w:lastRenderedPageBreak/>
        <w:t xml:space="preserve">Adjacent Upland Delineation </w:t>
      </w:r>
    </w:p>
    <w:p w:rsidR="00E04E36" w:rsidRDefault="00E04E36" w:rsidP="00E04E36">
      <w:pPr>
        <w:pStyle w:val="ListParagraph"/>
        <w:ind w:left="1080"/>
      </w:pPr>
    </w:p>
    <w:p w:rsidR="00E04E36" w:rsidRDefault="00E04E36" w:rsidP="00E04E36">
      <w:pPr>
        <w:ind w:left="720"/>
      </w:pPr>
      <w:r>
        <w:t>Where applicable, the Consultant will delineate the adjacent upland and determine if cr</w:t>
      </w:r>
      <w:r w:rsidR="00C146B6">
        <w:t xml:space="preserve">iteria are being met according to the mitigation plan applicable </w:t>
      </w:r>
      <w:r>
        <w:t>to each mitigation site</w:t>
      </w:r>
      <w:r w:rsidR="00CC2BDB">
        <w:t xml:space="preserve">.  </w:t>
      </w:r>
      <w:r w:rsidR="00CC2BDB" w:rsidRPr="00CC2BDB">
        <w:t xml:space="preserve">Adjacent vegetation required as a buffer in the mitigation plan will be monitored for continuity, width and species composition.  </w:t>
      </w:r>
    </w:p>
    <w:p w:rsidR="00C146B6" w:rsidRDefault="00C146B6" w:rsidP="00E04E36">
      <w:pPr>
        <w:ind w:left="720"/>
      </w:pPr>
    </w:p>
    <w:p w:rsidR="00C146B6" w:rsidRDefault="00C146B6" w:rsidP="00367995">
      <w:pPr>
        <w:pStyle w:val="ListParagraph"/>
        <w:numPr>
          <w:ilvl w:val="0"/>
          <w:numId w:val="3"/>
        </w:numPr>
      </w:pPr>
      <w:r>
        <w:t>Wetland, buffers and adjacent upland boundaries will be surveyed using s sub-meter precision GPS unit (Trimble Pro XT)</w:t>
      </w:r>
      <w:r w:rsidR="00CC2BDB">
        <w:t xml:space="preserve">.  </w:t>
      </w:r>
    </w:p>
    <w:p w:rsidR="000D0D5C" w:rsidRDefault="000D0D5C" w:rsidP="00E04E36">
      <w:pPr>
        <w:ind w:left="720"/>
      </w:pPr>
    </w:p>
    <w:p w:rsidR="00E04E36" w:rsidRDefault="00E04E36" w:rsidP="00E04E36">
      <w:pPr>
        <w:pStyle w:val="ListParagraph"/>
        <w:numPr>
          <w:ilvl w:val="0"/>
          <w:numId w:val="3"/>
        </w:numPr>
      </w:pPr>
      <w:r>
        <w:t>Mitigation Site Monitoring</w:t>
      </w:r>
      <w:r w:rsidR="000D0D5C">
        <w:t xml:space="preserve"> Report </w:t>
      </w:r>
    </w:p>
    <w:p w:rsidR="000D0D5C" w:rsidRDefault="000D0D5C" w:rsidP="00367995">
      <w:pPr>
        <w:ind w:left="720"/>
      </w:pPr>
    </w:p>
    <w:p w:rsidR="000D0D5C" w:rsidRDefault="000D0D5C" w:rsidP="00367995">
      <w:pPr>
        <w:ind w:left="720"/>
      </w:pPr>
      <w:r w:rsidRPr="000D0D5C">
        <w:t xml:space="preserve">The Consultant will prepare a </w:t>
      </w:r>
      <w:r>
        <w:t>Mitigation Site Monitoring</w:t>
      </w:r>
      <w:r w:rsidRPr="000D0D5C">
        <w:t xml:space="preserve"> Report in accordanc</w:t>
      </w:r>
      <w:r>
        <w:t xml:space="preserve">e with the NDDOT Design Manual, </w:t>
      </w:r>
      <w:r w:rsidR="009C1FB8">
        <w:t>Chapter II Section IV</w:t>
      </w:r>
      <w:r w:rsidR="00F37DBF" w:rsidRPr="00F37DBF">
        <w:t xml:space="preserve"> “Wetlands, Vegetation, &amp; Environ</w:t>
      </w:r>
      <w:r w:rsidR="00F37DBF">
        <w:t>mental</w:t>
      </w:r>
      <w:r w:rsidR="00CC2BDB">
        <w:t xml:space="preserve"> Permitting”</w:t>
      </w:r>
      <w:r w:rsidR="009C1FB8">
        <w:t>, Appendices</w:t>
      </w:r>
      <w:r w:rsidR="00CC2BDB">
        <w:t xml:space="preserve"> A7 and A8 and </w:t>
      </w:r>
      <w:r w:rsidR="009C1FB8">
        <w:t xml:space="preserve">the </w:t>
      </w:r>
      <w:r w:rsidR="00CC2BDB">
        <w:t>North Dakota Wetland Mitigation Guidance Document</w:t>
      </w:r>
      <w:r w:rsidR="009C1FB8">
        <w:t xml:space="preserve">.  </w:t>
      </w:r>
    </w:p>
    <w:p w:rsidR="0012627B" w:rsidRDefault="0012627B" w:rsidP="00A41CAA">
      <w:pPr>
        <w:ind w:left="720"/>
      </w:pPr>
    </w:p>
    <w:p w:rsidR="00CC2BDB" w:rsidRDefault="00CC2BDB" w:rsidP="00A41CAA">
      <w:pPr>
        <w:ind w:left="720"/>
      </w:pPr>
      <w:r>
        <w:t xml:space="preserve">Sites will be monitored on a yearly basis until success criteria are met, but not less than a 5 year period unless the US Army Corps of Engineers (USACE) approves a shorter monitoring period or as required by USACE permit.  </w:t>
      </w:r>
    </w:p>
    <w:p w:rsidR="00CC2BDB" w:rsidRDefault="00CC2BDB" w:rsidP="00A41CAA">
      <w:pPr>
        <w:ind w:left="720"/>
      </w:pPr>
    </w:p>
    <w:p w:rsidR="009C1BC0" w:rsidRDefault="009C1BC0" w:rsidP="009C1BC0">
      <w:pPr>
        <w:pStyle w:val="ListParagraph"/>
        <w:numPr>
          <w:ilvl w:val="0"/>
          <w:numId w:val="1"/>
        </w:numPr>
      </w:pPr>
      <w:r>
        <w:t>Project Deliverables</w:t>
      </w:r>
    </w:p>
    <w:p w:rsidR="009C1BC0" w:rsidRDefault="009C1BC0" w:rsidP="009C1BC0"/>
    <w:p w:rsidR="0012627B" w:rsidRDefault="009C1BC0" w:rsidP="009C1BC0">
      <w:pPr>
        <w:ind w:left="360"/>
      </w:pPr>
      <w:r>
        <w:t xml:space="preserve">All project data will become the property of NDDOT upon completion of the final submittal. </w:t>
      </w:r>
      <w:r w:rsidR="00F37DBF">
        <w:t xml:space="preserve"> </w:t>
      </w:r>
      <w:r w:rsidR="0012627B" w:rsidRPr="0012627B">
        <w:t xml:space="preserve">Final </w:t>
      </w:r>
      <w:r w:rsidR="00BC3635">
        <w:t xml:space="preserve">monitoring </w:t>
      </w:r>
      <w:r w:rsidR="004E1CBC">
        <w:t xml:space="preserve">report </w:t>
      </w:r>
      <w:r w:rsidR="004E1CBC" w:rsidRPr="0012627B">
        <w:t>with</w:t>
      </w:r>
      <w:r w:rsidR="0012627B" w:rsidRPr="0012627B">
        <w:t xml:space="preserve"> final shape files </w:t>
      </w:r>
      <w:r w:rsidR="00C146B6">
        <w:t xml:space="preserve">and </w:t>
      </w:r>
      <w:r w:rsidR="004E1CBC">
        <w:t>photos</w:t>
      </w:r>
      <w:r w:rsidR="004E1CBC" w:rsidRPr="0012627B">
        <w:t xml:space="preserve"> will</w:t>
      </w:r>
      <w:r w:rsidR="0012627B" w:rsidRPr="0012627B">
        <w:t xml:space="preserve"> be generated and provided to NDDOT.</w:t>
      </w:r>
      <w:r w:rsidR="0012627B">
        <w:t xml:space="preserve"> </w:t>
      </w:r>
      <w:r w:rsidR="00F37DBF">
        <w:t xml:space="preserve"> </w:t>
      </w:r>
    </w:p>
    <w:p w:rsidR="0012627B" w:rsidRDefault="0012627B" w:rsidP="009C1BC0">
      <w:pPr>
        <w:ind w:left="360"/>
      </w:pPr>
    </w:p>
    <w:p w:rsidR="009C1BC0" w:rsidRDefault="009C1BC0" w:rsidP="009C1BC0">
      <w:pPr>
        <w:ind w:left="360"/>
      </w:pPr>
      <w:r>
        <w:t>All project information will be submitted in the following formats and standards:</w:t>
      </w:r>
    </w:p>
    <w:p w:rsidR="004F38C7" w:rsidRPr="004F38C7" w:rsidRDefault="004F38C7" w:rsidP="004F38C7">
      <w:pPr>
        <w:numPr>
          <w:ilvl w:val="0"/>
          <w:numId w:val="8"/>
        </w:numPr>
        <w:autoSpaceDN w:val="0"/>
        <w:contextualSpacing/>
        <w:rPr>
          <w:rFonts w:ascii="Calibri" w:eastAsia="Times New Roman" w:hAnsi="Calibri" w:cs="Times New Roman"/>
        </w:rPr>
      </w:pPr>
      <w:r w:rsidRPr="004F38C7">
        <w:rPr>
          <w:rFonts w:ascii="Calibri" w:eastAsia="Times New Roman" w:hAnsi="Calibri" w:cs="Times New Roman"/>
        </w:rPr>
        <w:t>MS Word and MS Excel</w:t>
      </w:r>
    </w:p>
    <w:p w:rsidR="004F38C7" w:rsidRPr="004F38C7" w:rsidRDefault="004F38C7" w:rsidP="004F38C7">
      <w:pPr>
        <w:numPr>
          <w:ilvl w:val="0"/>
          <w:numId w:val="8"/>
        </w:numPr>
        <w:autoSpaceDN w:val="0"/>
        <w:contextualSpacing/>
        <w:rPr>
          <w:rFonts w:ascii="Calibri" w:eastAsia="Times New Roman" w:hAnsi="Calibri" w:cs="Times New Roman"/>
        </w:rPr>
      </w:pPr>
      <w:r w:rsidRPr="004F38C7">
        <w:rPr>
          <w:rFonts w:ascii="Calibri" w:eastAsia="Times New Roman" w:hAnsi="Calibri" w:cs="Times New Roman"/>
        </w:rPr>
        <w:t>Adobe Acrobat (standard or compatible)</w:t>
      </w:r>
    </w:p>
    <w:p w:rsidR="004F38C7" w:rsidRPr="004F38C7" w:rsidRDefault="004F38C7" w:rsidP="004F38C7">
      <w:pPr>
        <w:numPr>
          <w:ilvl w:val="0"/>
          <w:numId w:val="8"/>
        </w:numPr>
        <w:autoSpaceDN w:val="0"/>
        <w:contextualSpacing/>
        <w:rPr>
          <w:rFonts w:ascii="Calibri" w:eastAsia="Times New Roman" w:hAnsi="Calibri" w:cs="Times New Roman"/>
        </w:rPr>
      </w:pPr>
      <w:r w:rsidRPr="004F38C7">
        <w:rPr>
          <w:rFonts w:ascii="Calibri" w:eastAsia="Times New Roman" w:hAnsi="Calibri" w:cs="Times New Roman"/>
        </w:rPr>
        <w:t>ArcGIS</w:t>
      </w:r>
    </w:p>
    <w:p w:rsidR="004F38C7" w:rsidRPr="004F38C7" w:rsidRDefault="004F38C7" w:rsidP="004F38C7">
      <w:pPr>
        <w:numPr>
          <w:ilvl w:val="1"/>
          <w:numId w:val="8"/>
        </w:numPr>
        <w:autoSpaceDN w:val="0"/>
        <w:contextualSpacing/>
        <w:rPr>
          <w:rFonts w:ascii="Calibri" w:eastAsia="Times New Roman" w:hAnsi="Calibri" w:cs="Times New Roman"/>
        </w:rPr>
      </w:pPr>
      <w:proofErr w:type="spellStart"/>
      <w:r w:rsidRPr="004F38C7">
        <w:rPr>
          <w:rFonts w:ascii="Calibri" w:eastAsia="Times New Roman" w:hAnsi="Calibri" w:cs="Times New Roman"/>
        </w:rPr>
        <w:t>Submeter</w:t>
      </w:r>
      <w:proofErr w:type="spellEnd"/>
      <w:r w:rsidRPr="004F38C7">
        <w:rPr>
          <w:rFonts w:ascii="Calibri" w:eastAsia="Times New Roman" w:hAnsi="Calibri" w:cs="Times New Roman"/>
        </w:rPr>
        <w:t xml:space="preserve"> GPS Accuracy</w:t>
      </w:r>
    </w:p>
    <w:p w:rsidR="004F38C7" w:rsidRPr="004F38C7" w:rsidRDefault="004F38C7" w:rsidP="004F38C7">
      <w:pPr>
        <w:numPr>
          <w:ilvl w:val="1"/>
          <w:numId w:val="8"/>
        </w:numPr>
        <w:autoSpaceDN w:val="0"/>
        <w:contextualSpacing/>
        <w:rPr>
          <w:rFonts w:ascii="Calibri" w:eastAsia="Times New Roman" w:hAnsi="Calibri" w:cs="Times New Roman"/>
        </w:rPr>
      </w:pPr>
      <w:r w:rsidRPr="004F38C7">
        <w:rPr>
          <w:rFonts w:ascii="Calibri" w:eastAsia="Times New Roman" w:hAnsi="Calibri" w:cs="Times New Roman"/>
        </w:rPr>
        <w:t>Collected using UTM Zone 14</w:t>
      </w:r>
    </w:p>
    <w:p w:rsidR="004F38C7" w:rsidRPr="004F38C7" w:rsidRDefault="004F38C7" w:rsidP="004F38C7">
      <w:pPr>
        <w:numPr>
          <w:ilvl w:val="1"/>
          <w:numId w:val="8"/>
        </w:numPr>
        <w:autoSpaceDN w:val="0"/>
        <w:contextualSpacing/>
        <w:rPr>
          <w:rFonts w:ascii="Calibri" w:eastAsia="Times New Roman" w:hAnsi="Calibri" w:cs="Times New Roman"/>
        </w:rPr>
      </w:pPr>
      <w:r w:rsidRPr="004F38C7">
        <w:rPr>
          <w:rFonts w:ascii="Calibri" w:eastAsia="Times New Roman" w:hAnsi="Calibri" w:cs="Times New Roman"/>
        </w:rPr>
        <w:t xml:space="preserve">Shape files submitted as polygons, points or lines with project information </w:t>
      </w:r>
    </w:p>
    <w:p w:rsidR="004F38C7" w:rsidRPr="004F38C7" w:rsidRDefault="004F38C7" w:rsidP="004F38C7">
      <w:pPr>
        <w:numPr>
          <w:ilvl w:val="1"/>
          <w:numId w:val="8"/>
        </w:numPr>
        <w:autoSpaceDN w:val="0"/>
        <w:contextualSpacing/>
        <w:rPr>
          <w:rFonts w:ascii="Calibri" w:eastAsia="Times New Roman" w:hAnsi="Calibri" w:cs="Times New Roman"/>
        </w:rPr>
      </w:pPr>
      <w:r w:rsidRPr="004F38C7">
        <w:rPr>
          <w:rFonts w:ascii="Calibri" w:eastAsia="Times New Roman" w:hAnsi="Calibri" w:cs="Times New Roman"/>
        </w:rPr>
        <w:t xml:space="preserve">Attributes of shape files filled out with project information per example in the Design Manual – Reference and Forms </w:t>
      </w:r>
    </w:p>
    <w:p w:rsidR="004F38C7" w:rsidRPr="004F38C7" w:rsidRDefault="004F38C7" w:rsidP="004F38C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eastAsia="Times New Roman" w:hAnsi="Calibri" w:cs="Times New Roman"/>
        </w:rPr>
      </w:pPr>
      <w:proofErr w:type="spellStart"/>
      <w:r w:rsidRPr="004F38C7">
        <w:rPr>
          <w:rFonts w:ascii="Calibri" w:eastAsia="Times New Roman" w:hAnsi="Calibri" w:cs="Times New Roman"/>
        </w:rPr>
        <w:t>MicroStation</w:t>
      </w:r>
      <w:proofErr w:type="spellEnd"/>
      <w:r w:rsidRPr="004F38C7">
        <w:rPr>
          <w:rFonts w:ascii="Calibri" w:eastAsia="Times New Roman" w:hAnsi="Calibri" w:cs="Times New Roman"/>
        </w:rPr>
        <w:t xml:space="preserve"> 8.11.07 (V8i)</w:t>
      </w:r>
    </w:p>
    <w:p w:rsidR="004F38C7" w:rsidRPr="004F38C7" w:rsidRDefault="004F38C7" w:rsidP="004F38C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eastAsia="Times New Roman" w:hAnsi="Calibri" w:cs="Times New Roman"/>
        </w:rPr>
      </w:pPr>
      <w:r w:rsidRPr="004F38C7">
        <w:rPr>
          <w:rFonts w:ascii="Calibri" w:eastAsia="Times New Roman" w:hAnsi="Calibri" w:cs="Times New Roman"/>
        </w:rPr>
        <w:t>GEOPAK 8.11.07 (V8i)</w:t>
      </w:r>
    </w:p>
    <w:p w:rsidR="004F38C7" w:rsidRPr="004F38C7" w:rsidRDefault="004F38C7" w:rsidP="004F38C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eastAsia="Times New Roman" w:hAnsi="Calibri" w:cs="Times New Roman"/>
        </w:rPr>
      </w:pPr>
      <w:r w:rsidRPr="004F38C7">
        <w:rPr>
          <w:rFonts w:ascii="Calibri" w:eastAsia="Times New Roman" w:hAnsi="Calibri" w:cs="Times New Roman"/>
        </w:rPr>
        <w:t>NDDOT CADD Manual</w:t>
      </w:r>
    </w:p>
    <w:p w:rsidR="004F38C7" w:rsidRPr="004F38C7" w:rsidRDefault="004F38C7" w:rsidP="004F38C7">
      <w:pPr>
        <w:numPr>
          <w:ilvl w:val="0"/>
          <w:numId w:val="9"/>
        </w:numPr>
        <w:autoSpaceDN w:val="0"/>
        <w:contextualSpacing/>
        <w:rPr>
          <w:rFonts w:ascii="Calibri" w:eastAsia="Times New Roman" w:hAnsi="Calibri" w:cs="Times New Roman"/>
        </w:rPr>
      </w:pPr>
      <w:r w:rsidRPr="004F38C7">
        <w:rPr>
          <w:rFonts w:ascii="Calibri" w:eastAsia="Times New Roman" w:hAnsi="Calibri" w:cs="Times New Roman"/>
        </w:rPr>
        <w:t>NDDOT Design Manual</w:t>
      </w:r>
    </w:p>
    <w:p w:rsidR="004F38C7" w:rsidRPr="004F38C7" w:rsidRDefault="004F38C7" w:rsidP="004F38C7">
      <w:pPr>
        <w:numPr>
          <w:ilvl w:val="0"/>
          <w:numId w:val="9"/>
        </w:numPr>
        <w:autoSpaceDN w:val="0"/>
        <w:contextualSpacing/>
        <w:rPr>
          <w:rFonts w:ascii="Calibri" w:eastAsia="Times New Roman" w:hAnsi="Calibri" w:cs="Times New Roman"/>
        </w:rPr>
      </w:pPr>
      <w:r w:rsidRPr="004F38C7">
        <w:rPr>
          <w:rFonts w:ascii="Calibri" w:eastAsia="Times New Roman" w:hAnsi="Calibri" w:cs="Times New Roman"/>
        </w:rPr>
        <w:t xml:space="preserve">NDDOT Design Manual – Chapter II, Section IV </w:t>
      </w:r>
    </w:p>
    <w:p w:rsidR="004F38C7" w:rsidRPr="004F38C7" w:rsidRDefault="004F38C7" w:rsidP="004F38C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eastAsia="Times New Roman" w:hAnsi="Calibri" w:cs="Times New Roman"/>
        </w:rPr>
      </w:pPr>
      <w:r w:rsidRPr="004F38C7">
        <w:rPr>
          <w:rFonts w:ascii="Calibri" w:eastAsia="Times New Roman" w:hAnsi="Calibri" w:cs="Times New Roman"/>
        </w:rPr>
        <w:t xml:space="preserve">NDDOT Noise Policy and Draft Template </w:t>
      </w:r>
    </w:p>
    <w:p w:rsidR="004F38C7" w:rsidRDefault="004F38C7" w:rsidP="009C1BC0">
      <w:pPr>
        <w:ind w:left="360"/>
      </w:pPr>
    </w:p>
    <w:p w:rsidR="00C15B6A" w:rsidRDefault="00C15B6A" w:rsidP="00C15B6A">
      <w:r>
        <w:t>III.</w:t>
      </w:r>
      <w:r>
        <w:tab/>
        <w:t>NDDOT Responsibilities</w:t>
      </w:r>
    </w:p>
    <w:p w:rsidR="00C15B6A" w:rsidRDefault="00C15B6A" w:rsidP="009C1BC0">
      <w:pPr>
        <w:ind w:left="360"/>
      </w:pPr>
    </w:p>
    <w:p w:rsidR="00746E90" w:rsidRDefault="00C15B6A" w:rsidP="00C15B6A">
      <w:pPr>
        <w:pStyle w:val="ListParagraph"/>
        <w:numPr>
          <w:ilvl w:val="0"/>
          <w:numId w:val="4"/>
        </w:numPr>
      </w:pPr>
      <w:r>
        <w:t>Project Maps</w:t>
      </w:r>
    </w:p>
    <w:p w:rsidR="00746E90" w:rsidRDefault="00746E90" w:rsidP="00746E90">
      <w:pPr>
        <w:pStyle w:val="ListParagraph"/>
      </w:pPr>
    </w:p>
    <w:p w:rsidR="00C15B6A" w:rsidRDefault="009C1FB8" w:rsidP="00746E90">
      <w:pPr>
        <w:pStyle w:val="ListParagraph"/>
      </w:pPr>
      <w:r>
        <w:t xml:space="preserve">Mitigation site plans </w:t>
      </w:r>
      <w:r w:rsidR="00060590">
        <w:t>and sh</w:t>
      </w:r>
      <w:r w:rsidR="004E1CBC">
        <w:t>a</w:t>
      </w:r>
      <w:r w:rsidR="00060590">
        <w:t>p</w:t>
      </w:r>
      <w:r w:rsidR="004E1CBC">
        <w:t>e</w:t>
      </w:r>
      <w:r w:rsidR="00060590">
        <w:t xml:space="preserve"> files</w:t>
      </w:r>
      <w:r w:rsidR="00C15B6A">
        <w:t xml:space="preserve"> will be provided </w:t>
      </w:r>
      <w:r w:rsidR="00F37DBF">
        <w:t xml:space="preserve">by NDDOT. </w:t>
      </w:r>
      <w:r w:rsidR="00C15B6A">
        <w:t xml:space="preserve"> </w:t>
      </w:r>
    </w:p>
    <w:p w:rsidR="00C15B6A" w:rsidRDefault="00C15B6A" w:rsidP="00C15B6A">
      <w:pPr>
        <w:ind w:left="360"/>
      </w:pPr>
    </w:p>
    <w:p w:rsidR="00C15B6A" w:rsidRDefault="00C15B6A" w:rsidP="00C15B6A">
      <w:pPr>
        <w:pStyle w:val="ListParagraph"/>
        <w:numPr>
          <w:ilvl w:val="0"/>
          <w:numId w:val="4"/>
        </w:numPr>
      </w:pPr>
      <w:r>
        <w:lastRenderedPageBreak/>
        <w:t>Meeting</w:t>
      </w:r>
      <w:r w:rsidR="009C1FB8">
        <w:t xml:space="preserve">s with NDDOT </w:t>
      </w:r>
      <w:r>
        <w:t xml:space="preserve"> </w:t>
      </w:r>
    </w:p>
    <w:p w:rsidR="00C15B6A" w:rsidRDefault="00C15B6A" w:rsidP="00C15B6A">
      <w:pPr>
        <w:pStyle w:val="ListParagraph"/>
      </w:pPr>
    </w:p>
    <w:p w:rsidR="00746E90" w:rsidRDefault="009C1FB8" w:rsidP="00367995">
      <w:pPr>
        <w:pStyle w:val="ListParagraph"/>
      </w:pPr>
      <w:r>
        <w:t xml:space="preserve">As requested by the </w:t>
      </w:r>
      <w:r w:rsidR="00C15B6A">
        <w:t>NDDOT</w:t>
      </w:r>
      <w:r>
        <w:t xml:space="preserve"> or the consultant, </w:t>
      </w:r>
      <w:r w:rsidR="004F38C7">
        <w:t xml:space="preserve">meetings can be arranged to </w:t>
      </w:r>
      <w:r w:rsidR="00C15B6A">
        <w:t xml:space="preserve">discuss procedural items and deliverables expectation. </w:t>
      </w:r>
    </w:p>
    <w:p w:rsidR="00C15B6A" w:rsidRDefault="00C15B6A" w:rsidP="00C15B6A">
      <w:pPr>
        <w:pStyle w:val="ListParagraph"/>
      </w:pPr>
    </w:p>
    <w:p w:rsidR="00C15B6A" w:rsidRDefault="00C15B6A" w:rsidP="00C15B6A">
      <w:pPr>
        <w:pStyle w:val="ListParagraph"/>
        <w:numPr>
          <w:ilvl w:val="0"/>
          <w:numId w:val="4"/>
        </w:numPr>
      </w:pPr>
      <w:r>
        <w:t>Liaison Assignment</w:t>
      </w:r>
    </w:p>
    <w:p w:rsidR="00C15B6A" w:rsidRDefault="00C15B6A" w:rsidP="00C15B6A">
      <w:pPr>
        <w:pStyle w:val="ListParagraph"/>
      </w:pPr>
    </w:p>
    <w:p w:rsidR="00746E90" w:rsidRDefault="004F38C7" w:rsidP="00C15B6A">
      <w:pPr>
        <w:pStyle w:val="ListParagraph"/>
      </w:pPr>
      <w:r>
        <w:t>NDDOT will assign a</w:t>
      </w:r>
      <w:r w:rsidR="00746E90">
        <w:t xml:space="preserve"> </w:t>
      </w:r>
      <w:r>
        <w:t xml:space="preserve">wetland specialist </w:t>
      </w:r>
      <w:r w:rsidR="00104138">
        <w:t>to each consultant</w:t>
      </w:r>
      <w:r>
        <w:t xml:space="preserve">.  The wetland specialist will be available to attend </w:t>
      </w:r>
      <w:r w:rsidR="00104138">
        <w:t xml:space="preserve">one day in the </w:t>
      </w:r>
      <w:r w:rsidR="00746E90">
        <w:t xml:space="preserve">field </w:t>
      </w:r>
      <w:r w:rsidR="00104138">
        <w:t xml:space="preserve">during the field </w:t>
      </w:r>
      <w:r w:rsidR="00746E90">
        <w:t xml:space="preserve">delineation to increase collaboration at beginning of field season. </w:t>
      </w:r>
      <w:r w:rsidR="00104138">
        <w:t xml:space="preserve">The </w:t>
      </w:r>
      <w:r>
        <w:t>wetland specialist</w:t>
      </w:r>
      <w:r w:rsidR="00746E90">
        <w:t xml:space="preserve"> will also </w:t>
      </w:r>
      <w:r>
        <w:t xml:space="preserve">be available to </w:t>
      </w:r>
      <w:r w:rsidR="00746E90">
        <w:t>spend one working day in the office with the consultant, at the local office nearest to the NDDOT Central Office, post processing data to improve the delineation process.</w:t>
      </w:r>
    </w:p>
    <w:p w:rsidR="00746E90" w:rsidRDefault="00746E90" w:rsidP="00C15B6A">
      <w:pPr>
        <w:pStyle w:val="ListParagraph"/>
      </w:pPr>
    </w:p>
    <w:p w:rsidR="00746E90" w:rsidRDefault="00746E90" w:rsidP="00C15B6A">
      <w:pPr>
        <w:pStyle w:val="ListParagraph"/>
      </w:pPr>
    </w:p>
    <w:sectPr w:rsidR="00746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4C7"/>
    <w:multiLevelType w:val="hybridMultilevel"/>
    <w:tmpl w:val="40987F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7F43"/>
    <w:multiLevelType w:val="hybridMultilevel"/>
    <w:tmpl w:val="F6E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76559D"/>
    <w:multiLevelType w:val="hybridMultilevel"/>
    <w:tmpl w:val="F0A23ADC"/>
    <w:lvl w:ilvl="0" w:tplc="500E7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5E6CD8"/>
    <w:multiLevelType w:val="hybridMultilevel"/>
    <w:tmpl w:val="A2400D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AEAA3E96">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42275"/>
    <w:multiLevelType w:val="hybridMultilevel"/>
    <w:tmpl w:val="0DC82C1C"/>
    <w:lvl w:ilvl="0" w:tplc="A366F63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E2250"/>
    <w:multiLevelType w:val="hybridMultilevel"/>
    <w:tmpl w:val="093E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0745A"/>
    <w:multiLevelType w:val="hybridMultilevel"/>
    <w:tmpl w:val="CB6C63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49C26D50"/>
    <w:multiLevelType w:val="hybridMultilevel"/>
    <w:tmpl w:val="A7AACC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746E72A0"/>
    <w:multiLevelType w:val="hybridMultilevel"/>
    <w:tmpl w:val="746496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AEAA3E96">
      <w:numFmt w:val="bullet"/>
      <w:lvlText w:val="•"/>
      <w:lvlJc w:val="left"/>
      <w:pPr>
        <w:ind w:left="3060" w:hanging="720"/>
      </w:pPr>
      <w:rPr>
        <w:rFonts w:ascii="Calibri" w:eastAsiaTheme="minorHAnsi" w:hAnsi="Calibri"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54"/>
    <w:rsid w:val="00060590"/>
    <w:rsid w:val="000D0D5C"/>
    <w:rsid w:val="000F0940"/>
    <w:rsid w:val="00104138"/>
    <w:rsid w:val="0012627B"/>
    <w:rsid w:val="001550D4"/>
    <w:rsid w:val="00176953"/>
    <w:rsid w:val="001855AD"/>
    <w:rsid w:val="002F5D84"/>
    <w:rsid w:val="00367995"/>
    <w:rsid w:val="00445A95"/>
    <w:rsid w:val="004E1CBC"/>
    <w:rsid w:val="004F38C7"/>
    <w:rsid w:val="005C7C3A"/>
    <w:rsid w:val="006063D3"/>
    <w:rsid w:val="0064125B"/>
    <w:rsid w:val="006518D3"/>
    <w:rsid w:val="00746E90"/>
    <w:rsid w:val="0076074A"/>
    <w:rsid w:val="00793257"/>
    <w:rsid w:val="007B742B"/>
    <w:rsid w:val="007C0117"/>
    <w:rsid w:val="00801636"/>
    <w:rsid w:val="00807B6C"/>
    <w:rsid w:val="008759CC"/>
    <w:rsid w:val="009C1BC0"/>
    <w:rsid w:val="009C1FB8"/>
    <w:rsid w:val="009C646A"/>
    <w:rsid w:val="00A16354"/>
    <w:rsid w:val="00A41CAA"/>
    <w:rsid w:val="00A81674"/>
    <w:rsid w:val="00BA5D86"/>
    <w:rsid w:val="00BC3635"/>
    <w:rsid w:val="00BF6803"/>
    <w:rsid w:val="00C0084F"/>
    <w:rsid w:val="00C146B6"/>
    <w:rsid w:val="00C15B6A"/>
    <w:rsid w:val="00CC2BDB"/>
    <w:rsid w:val="00D7256D"/>
    <w:rsid w:val="00E04E36"/>
    <w:rsid w:val="00E14B33"/>
    <w:rsid w:val="00F24E8A"/>
    <w:rsid w:val="00F37DBF"/>
    <w:rsid w:val="00FF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8D3"/>
    <w:pPr>
      <w:ind w:left="720"/>
      <w:contextualSpacing/>
    </w:pPr>
  </w:style>
  <w:style w:type="paragraph" w:styleId="BalloonText">
    <w:name w:val="Balloon Text"/>
    <w:basedOn w:val="Normal"/>
    <w:link w:val="BalloonTextChar"/>
    <w:uiPriority w:val="99"/>
    <w:semiHidden/>
    <w:unhideWhenUsed/>
    <w:rsid w:val="00E04E36"/>
    <w:rPr>
      <w:rFonts w:ascii="Tahoma" w:hAnsi="Tahoma" w:cs="Tahoma"/>
      <w:sz w:val="16"/>
      <w:szCs w:val="16"/>
    </w:rPr>
  </w:style>
  <w:style w:type="character" w:customStyle="1" w:styleId="BalloonTextChar">
    <w:name w:val="Balloon Text Char"/>
    <w:basedOn w:val="DefaultParagraphFont"/>
    <w:link w:val="BalloonText"/>
    <w:uiPriority w:val="99"/>
    <w:semiHidden/>
    <w:rsid w:val="00E04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8D3"/>
    <w:pPr>
      <w:ind w:left="720"/>
      <w:contextualSpacing/>
    </w:pPr>
  </w:style>
  <w:style w:type="paragraph" w:styleId="BalloonText">
    <w:name w:val="Balloon Text"/>
    <w:basedOn w:val="Normal"/>
    <w:link w:val="BalloonTextChar"/>
    <w:uiPriority w:val="99"/>
    <w:semiHidden/>
    <w:unhideWhenUsed/>
    <w:rsid w:val="00E04E36"/>
    <w:rPr>
      <w:rFonts w:ascii="Tahoma" w:hAnsi="Tahoma" w:cs="Tahoma"/>
      <w:sz w:val="16"/>
      <w:szCs w:val="16"/>
    </w:rPr>
  </w:style>
  <w:style w:type="character" w:customStyle="1" w:styleId="BalloonTextChar">
    <w:name w:val="Balloon Text Char"/>
    <w:basedOn w:val="DefaultParagraphFont"/>
    <w:link w:val="BalloonText"/>
    <w:uiPriority w:val="99"/>
    <w:semiHidden/>
    <w:rsid w:val="00E04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4886-93C4-4F00-B8D6-B6FD3390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Lares, Sheri G.</dc:creator>
  <cp:lastModifiedBy>Dewald, David D.</cp:lastModifiedBy>
  <cp:revision>2</cp:revision>
  <cp:lastPrinted>2014-06-20T18:03:00Z</cp:lastPrinted>
  <dcterms:created xsi:type="dcterms:W3CDTF">2015-06-05T20:22:00Z</dcterms:created>
  <dcterms:modified xsi:type="dcterms:W3CDTF">2015-06-05T20:22:00Z</dcterms:modified>
</cp:coreProperties>
</file>