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Default="00E650D1">
      <w:pPr>
        <w:jc w:val="center"/>
        <w:rPr>
          <w:b/>
          <w:bCs/>
          <w:sz w:val="26"/>
          <w:szCs w:val="26"/>
        </w:rPr>
      </w:pPr>
      <w:r w:rsidRPr="00464FF4">
        <w:rPr>
          <w:b/>
          <w:bCs/>
          <w:sz w:val="26"/>
          <w:szCs w:val="26"/>
        </w:rPr>
        <w:t>March</w:t>
      </w:r>
      <w:r w:rsidR="00DB5125" w:rsidRPr="00464FF4">
        <w:rPr>
          <w:b/>
          <w:bCs/>
          <w:sz w:val="26"/>
          <w:szCs w:val="26"/>
        </w:rPr>
        <w:t xml:space="preserve"> </w:t>
      </w:r>
      <w:r w:rsidR="00464FF4" w:rsidRPr="00464FF4">
        <w:rPr>
          <w:b/>
          <w:bCs/>
          <w:sz w:val="26"/>
          <w:szCs w:val="26"/>
        </w:rPr>
        <w:t>15</w:t>
      </w:r>
      <w:r w:rsidR="00C949BB" w:rsidRPr="00464FF4">
        <w:rPr>
          <w:b/>
          <w:bCs/>
          <w:sz w:val="26"/>
          <w:szCs w:val="26"/>
        </w:rPr>
        <w:t xml:space="preserve">, </w:t>
      </w:r>
      <w:r w:rsidR="00464FF4" w:rsidRPr="00464FF4">
        <w:rPr>
          <w:b/>
          <w:bCs/>
          <w:sz w:val="26"/>
          <w:szCs w:val="26"/>
        </w:rPr>
        <w:t>2018</w:t>
      </w:r>
    </w:p>
    <w:p w:rsidR="009246F3" w:rsidRPr="00830DDA" w:rsidRDefault="009246F3">
      <w:pPr>
        <w:jc w:val="center"/>
        <w:rPr>
          <w:sz w:val="26"/>
          <w:szCs w:val="26"/>
        </w:rPr>
      </w:pPr>
      <w:r>
        <w:rPr>
          <w:b/>
          <w:bCs/>
          <w:sz w:val="26"/>
          <w:szCs w:val="26"/>
        </w:rPr>
        <w:t>(7 day RFP)</w:t>
      </w:r>
    </w:p>
    <w:p w:rsidR="00D22244" w:rsidRPr="00830DDA" w:rsidRDefault="00D22244">
      <w:pPr>
        <w:jc w:val="center"/>
        <w:rPr>
          <w:sz w:val="29"/>
          <w:szCs w:val="29"/>
        </w:rPr>
      </w:pPr>
    </w:p>
    <w:p w:rsidR="00D22244" w:rsidRDefault="00D22244">
      <w:pPr>
        <w:jc w:val="center"/>
        <w:rPr>
          <w:sz w:val="29"/>
          <w:szCs w:val="29"/>
        </w:rPr>
      </w:pPr>
    </w:p>
    <w:p w:rsidR="00D22244" w:rsidRPr="00830DDA" w:rsidRDefault="00D22244">
      <w:pPr>
        <w:jc w:val="center"/>
        <w:rPr>
          <w:b/>
          <w:bCs/>
          <w:sz w:val="26"/>
          <w:szCs w:val="26"/>
        </w:rPr>
      </w:pPr>
      <w:bookmarkStart w:id="2" w:name="_GoBack"/>
      <w:bookmarkEnd w:id="2"/>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00DE7BF6">
        <w:rPr>
          <w:b/>
          <w:bCs/>
          <w:sz w:val="26"/>
          <w:szCs w:val="26"/>
        </w:rPr>
        <w:t>S</w:t>
      </w:r>
      <w:r w:rsidRPr="00830DDA">
        <w:rPr>
          <w:b/>
          <w:bCs/>
          <w:sz w:val="26"/>
          <w:szCs w:val="26"/>
        </w:rPr>
        <w:t>:</w:t>
      </w:r>
    </w:p>
    <w:p w:rsidR="006442F5" w:rsidRDefault="006442F5" w:rsidP="000C3FD3">
      <w:pPr>
        <w:widowControl/>
        <w:rPr>
          <w:b/>
          <w:bCs/>
          <w:sz w:val="26"/>
          <w:szCs w:val="26"/>
        </w:rPr>
      </w:pPr>
    </w:p>
    <w:p w:rsidR="00E650D1" w:rsidRDefault="00E650D1" w:rsidP="000C3FD3">
      <w:pPr>
        <w:widowControl/>
        <w:rPr>
          <w:b/>
          <w:bCs/>
          <w:sz w:val="26"/>
          <w:szCs w:val="26"/>
        </w:rPr>
      </w:pPr>
    </w:p>
    <w:p w:rsidR="00E650D1" w:rsidRDefault="00E650D1" w:rsidP="000C3FD3">
      <w:pPr>
        <w:widowControl/>
        <w:rPr>
          <w:b/>
          <w:bCs/>
          <w:sz w:val="26"/>
          <w:szCs w:val="26"/>
        </w:rPr>
      </w:pPr>
    </w:p>
    <w:p w:rsidR="00E650D1" w:rsidRDefault="00E650D1" w:rsidP="000C3FD3">
      <w:pPr>
        <w:widowControl/>
        <w:rPr>
          <w:b/>
          <w:bCs/>
          <w:sz w:val="26"/>
          <w:szCs w:val="26"/>
        </w:rPr>
      </w:pPr>
    </w:p>
    <w:p w:rsidR="00331BA1" w:rsidRDefault="00331BA1" w:rsidP="000C3FD3">
      <w:pPr>
        <w:widowControl/>
        <w:rPr>
          <w:b/>
          <w:bCs/>
          <w:sz w:val="26"/>
          <w:szCs w:val="26"/>
        </w:rPr>
      </w:pPr>
    </w:p>
    <w:p w:rsidR="000C3FD3" w:rsidRDefault="004E43B0" w:rsidP="000C3FD3">
      <w:pPr>
        <w:widowControl/>
        <w:jc w:val="center"/>
        <w:rPr>
          <w:b/>
          <w:bCs/>
          <w:sz w:val="28"/>
          <w:szCs w:val="28"/>
        </w:rPr>
      </w:pPr>
      <w:r>
        <w:rPr>
          <w:b/>
          <w:bCs/>
          <w:sz w:val="28"/>
          <w:szCs w:val="28"/>
        </w:rPr>
        <w:t>2-990(058)</w:t>
      </w:r>
      <w:r w:rsidR="000C3FD3" w:rsidRPr="00726130">
        <w:rPr>
          <w:b/>
          <w:bCs/>
          <w:sz w:val="28"/>
          <w:szCs w:val="28"/>
        </w:rPr>
        <w:t xml:space="preserve">, PCN </w:t>
      </w:r>
      <w:r>
        <w:rPr>
          <w:b/>
          <w:bCs/>
          <w:sz w:val="28"/>
          <w:szCs w:val="28"/>
        </w:rPr>
        <w:t>22172</w:t>
      </w:r>
    </w:p>
    <w:p w:rsidR="004706AA" w:rsidRPr="00726130" w:rsidRDefault="004706AA" w:rsidP="000C3FD3">
      <w:pPr>
        <w:widowControl/>
        <w:jc w:val="center"/>
        <w:rPr>
          <w:b/>
          <w:bCs/>
          <w:sz w:val="28"/>
          <w:szCs w:val="28"/>
        </w:rPr>
      </w:pPr>
      <w:r>
        <w:rPr>
          <w:b/>
          <w:bCs/>
          <w:sz w:val="28"/>
          <w:szCs w:val="28"/>
        </w:rPr>
        <w:t>Frontage Road (WB I-94 Ramp to 5</w:t>
      </w:r>
      <w:r w:rsidRPr="004706AA">
        <w:rPr>
          <w:b/>
          <w:bCs/>
          <w:sz w:val="28"/>
          <w:szCs w:val="28"/>
          <w:vertAlign w:val="superscript"/>
        </w:rPr>
        <w:t>th</w:t>
      </w:r>
      <w:r>
        <w:rPr>
          <w:b/>
          <w:bCs/>
          <w:sz w:val="28"/>
          <w:szCs w:val="28"/>
        </w:rPr>
        <w:t xml:space="preserve"> St SW)</w:t>
      </w:r>
    </w:p>
    <w:p w:rsidR="000C3FD3" w:rsidRPr="00726130" w:rsidRDefault="000C3FD3" w:rsidP="000C3FD3">
      <w:pPr>
        <w:widowControl/>
        <w:jc w:val="center"/>
        <w:rPr>
          <w:b/>
          <w:bCs/>
          <w:sz w:val="28"/>
          <w:szCs w:val="28"/>
        </w:rPr>
      </w:pPr>
      <w:r w:rsidRPr="00726130">
        <w:rPr>
          <w:b/>
          <w:bCs/>
          <w:sz w:val="28"/>
          <w:szCs w:val="28"/>
        </w:rPr>
        <w:t>&amp;</w:t>
      </w:r>
    </w:p>
    <w:p w:rsidR="00DB4AD1" w:rsidRPr="00726130" w:rsidRDefault="004E43B0" w:rsidP="000C3FD3">
      <w:pPr>
        <w:widowControl/>
        <w:jc w:val="center"/>
        <w:rPr>
          <w:b/>
          <w:bCs/>
          <w:sz w:val="28"/>
          <w:szCs w:val="28"/>
        </w:rPr>
      </w:pPr>
      <w:r w:rsidRPr="004E43B0">
        <w:rPr>
          <w:b/>
          <w:bCs/>
          <w:sz w:val="28"/>
          <w:szCs w:val="28"/>
        </w:rPr>
        <w:t>2-094(158)928</w:t>
      </w:r>
      <w:r w:rsidR="00331BA1" w:rsidRPr="00726130">
        <w:rPr>
          <w:b/>
          <w:bCs/>
          <w:sz w:val="28"/>
          <w:szCs w:val="28"/>
        </w:rPr>
        <w:t xml:space="preserve">, PCN </w:t>
      </w:r>
      <w:r>
        <w:rPr>
          <w:b/>
          <w:bCs/>
          <w:sz w:val="28"/>
          <w:szCs w:val="28"/>
        </w:rPr>
        <w:t>22173</w:t>
      </w:r>
      <w:r w:rsidR="00331BA1" w:rsidRPr="00726130">
        <w:rPr>
          <w:b/>
          <w:bCs/>
          <w:sz w:val="28"/>
          <w:szCs w:val="28"/>
        </w:rPr>
        <w:t xml:space="preserve"> (TIED)</w:t>
      </w:r>
    </w:p>
    <w:p w:rsidR="00331BA1" w:rsidRPr="00726130" w:rsidRDefault="00E650D1" w:rsidP="000C3FD3">
      <w:pPr>
        <w:widowControl/>
        <w:jc w:val="center"/>
        <w:rPr>
          <w:b/>
          <w:bCs/>
          <w:sz w:val="28"/>
          <w:szCs w:val="28"/>
        </w:rPr>
      </w:pPr>
      <w:r>
        <w:rPr>
          <w:b/>
          <w:bCs/>
          <w:sz w:val="28"/>
          <w:szCs w:val="28"/>
        </w:rPr>
        <w:t>VC Main ST W I-94 Ramp to 3</w:t>
      </w:r>
      <w:r w:rsidRPr="00E650D1">
        <w:rPr>
          <w:b/>
          <w:bCs/>
          <w:sz w:val="28"/>
          <w:szCs w:val="28"/>
          <w:vertAlign w:val="superscript"/>
        </w:rPr>
        <w:t>rd</w:t>
      </w:r>
      <w:r>
        <w:rPr>
          <w:b/>
          <w:bCs/>
          <w:sz w:val="28"/>
          <w:szCs w:val="28"/>
        </w:rPr>
        <w:t xml:space="preserve"> ST SW</w:t>
      </w:r>
    </w:p>
    <w:p w:rsidR="000C3FD3" w:rsidRPr="00726130" w:rsidRDefault="000C3FD3" w:rsidP="000C3FD3">
      <w:pPr>
        <w:widowControl/>
        <w:jc w:val="center"/>
        <w:rPr>
          <w:b/>
          <w:bCs/>
          <w:sz w:val="28"/>
          <w:szCs w:val="28"/>
        </w:rPr>
      </w:pPr>
    </w:p>
    <w:p w:rsidR="00D22244" w:rsidRDefault="00E650D1" w:rsidP="000C3FD3">
      <w:pPr>
        <w:jc w:val="center"/>
        <w:rPr>
          <w:b/>
          <w:bCs/>
          <w:sz w:val="28"/>
          <w:szCs w:val="28"/>
        </w:rPr>
      </w:pPr>
      <w:r>
        <w:rPr>
          <w:b/>
          <w:bCs/>
          <w:sz w:val="28"/>
          <w:szCs w:val="28"/>
        </w:rPr>
        <w:t>Rehabilitation</w:t>
      </w:r>
    </w:p>
    <w:p w:rsidR="00E650D1" w:rsidRPr="000C3FD3" w:rsidRDefault="00E650D1" w:rsidP="000C3FD3">
      <w:pPr>
        <w:jc w:val="center"/>
        <w:rPr>
          <w:b/>
          <w:sz w:val="28"/>
          <w:szCs w:val="28"/>
        </w:rPr>
      </w:pPr>
      <w:r>
        <w:rPr>
          <w:b/>
          <w:bCs/>
          <w:sz w:val="28"/>
          <w:szCs w:val="28"/>
        </w:rPr>
        <w:t>Mill and Overlay &gt; 2” &lt; or = 3</w:t>
      </w: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030245" w:rsidRPr="00464FF4">
        <w:rPr>
          <w:b/>
          <w:bCs/>
          <w:caps/>
          <w:sz w:val="22"/>
          <w:szCs w:val="22"/>
        </w:rPr>
        <w:t>march</w:t>
      </w:r>
      <w:r w:rsidR="00420FB0" w:rsidRPr="00464FF4">
        <w:rPr>
          <w:b/>
          <w:bCs/>
          <w:caps/>
          <w:sz w:val="22"/>
          <w:szCs w:val="22"/>
        </w:rPr>
        <w:t xml:space="preserve"> </w:t>
      </w:r>
      <w:r w:rsidR="00464FF4" w:rsidRPr="00464FF4">
        <w:rPr>
          <w:b/>
          <w:bCs/>
          <w:caps/>
          <w:sz w:val="22"/>
          <w:szCs w:val="22"/>
        </w:rPr>
        <w:t>22</w:t>
      </w:r>
      <w:r w:rsidR="000B62D0" w:rsidRPr="00464FF4">
        <w:rPr>
          <w:b/>
          <w:bCs/>
          <w:caps/>
          <w:sz w:val="22"/>
          <w:szCs w:val="22"/>
        </w:rPr>
        <w:t xml:space="preserve">, </w:t>
      </w:r>
      <w:r w:rsidR="00464FF4" w:rsidRPr="00464FF4">
        <w:rPr>
          <w:b/>
          <w:bCs/>
          <w:caps/>
          <w:sz w:val="22"/>
          <w:szCs w:val="22"/>
        </w:rPr>
        <w:t>2018</w:t>
      </w:r>
    </w:p>
    <w:p w:rsidR="00E650D1" w:rsidRDefault="00E650D1">
      <w:pPr>
        <w:jc w:val="center"/>
        <w:rPr>
          <w:b/>
          <w:bCs/>
          <w:caps/>
          <w:sz w:val="22"/>
          <w:szCs w:val="22"/>
        </w:rPr>
      </w:pP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w:t>
      </w:r>
      <w:r w:rsidR="00464FF4">
        <w:rPr>
          <w:rFonts w:asciiTheme="minorHAnsi" w:hAnsiTheme="minorHAnsi"/>
          <w:sz w:val="24"/>
          <w:szCs w:val="24"/>
        </w:rPr>
        <w:t>pre</w:t>
      </w:r>
      <w:r w:rsidRPr="00410527">
        <w:rPr>
          <w:rFonts w:asciiTheme="minorHAnsi" w:hAnsiTheme="minorHAnsi"/>
          <w:sz w:val="24"/>
          <w:szCs w:val="24"/>
        </w:rPr>
        <w:t xml:space="preserve">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650D1" w:rsidRPr="00E650D1" w:rsidRDefault="00E650D1" w:rsidP="00E650D1">
      <w:pPr>
        <w:widowControl/>
        <w:jc w:val="center"/>
        <w:rPr>
          <w:rFonts w:asciiTheme="minorHAnsi" w:hAnsiTheme="minorHAnsi"/>
          <w:b/>
          <w:bCs/>
          <w:sz w:val="24"/>
          <w:szCs w:val="24"/>
        </w:rPr>
      </w:pPr>
      <w:r w:rsidRPr="00E650D1">
        <w:rPr>
          <w:rFonts w:asciiTheme="minorHAnsi" w:hAnsiTheme="minorHAnsi"/>
          <w:b/>
          <w:bCs/>
          <w:sz w:val="24"/>
          <w:szCs w:val="24"/>
        </w:rPr>
        <w:t>2-990(058), PCN 22172</w:t>
      </w:r>
    </w:p>
    <w:p w:rsidR="00E650D1" w:rsidRPr="00E650D1" w:rsidRDefault="00E650D1" w:rsidP="00E650D1">
      <w:pPr>
        <w:widowControl/>
        <w:jc w:val="center"/>
        <w:rPr>
          <w:rFonts w:asciiTheme="minorHAnsi" w:hAnsiTheme="minorHAnsi"/>
          <w:b/>
          <w:bCs/>
          <w:sz w:val="24"/>
          <w:szCs w:val="24"/>
        </w:rPr>
      </w:pPr>
      <w:r w:rsidRPr="00E650D1">
        <w:rPr>
          <w:rFonts w:asciiTheme="minorHAnsi" w:hAnsiTheme="minorHAnsi"/>
          <w:b/>
          <w:bCs/>
          <w:sz w:val="24"/>
          <w:szCs w:val="24"/>
        </w:rPr>
        <w:t>&amp;</w:t>
      </w:r>
    </w:p>
    <w:p w:rsidR="007C62A7" w:rsidRPr="00410527" w:rsidRDefault="00E650D1" w:rsidP="00E650D1">
      <w:pPr>
        <w:widowControl/>
        <w:jc w:val="center"/>
        <w:rPr>
          <w:rFonts w:asciiTheme="minorHAnsi" w:hAnsiTheme="minorHAnsi"/>
          <w:b/>
          <w:bCs/>
          <w:sz w:val="24"/>
          <w:szCs w:val="24"/>
        </w:rPr>
      </w:pPr>
      <w:r w:rsidRPr="00E650D1">
        <w:rPr>
          <w:rFonts w:asciiTheme="minorHAnsi" w:hAnsiTheme="minorHAnsi"/>
          <w:b/>
          <w:bCs/>
          <w:sz w:val="24"/>
          <w:szCs w:val="24"/>
        </w:rPr>
        <w:t>2-094(158)928, PCN 22173 (TIED)</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030245" w:rsidRDefault="00030245" w:rsidP="00DA66EF">
      <w:pPr>
        <w:rPr>
          <w:rFonts w:asciiTheme="minorHAnsi" w:hAnsiTheme="minorHAnsi"/>
          <w:sz w:val="24"/>
          <w:szCs w:val="24"/>
        </w:rPr>
      </w:pPr>
    </w:p>
    <w:p w:rsidR="00030245" w:rsidRPr="00410527" w:rsidRDefault="00030245" w:rsidP="00DA66EF">
      <w:pPr>
        <w:rPr>
          <w:rFonts w:asciiTheme="minorHAnsi" w:hAnsiTheme="minorHAnsi"/>
          <w:sz w:val="24"/>
          <w:szCs w:val="24"/>
        </w:rPr>
      </w:pPr>
      <w:r w:rsidRPr="00030245">
        <w:rPr>
          <w:rFonts w:asciiTheme="minorHAnsi" w:hAnsiTheme="minorHAnsi"/>
          <w:sz w:val="24"/>
          <w:szCs w:val="24"/>
        </w:rPr>
        <w:t xml:space="preserve">This is for </w:t>
      </w:r>
      <w:r>
        <w:rPr>
          <w:rFonts w:asciiTheme="minorHAnsi" w:hAnsiTheme="minorHAnsi"/>
          <w:sz w:val="24"/>
          <w:szCs w:val="24"/>
        </w:rPr>
        <w:t xml:space="preserve">a </w:t>
      </w:r>
      <w:r w:rsidRPr="00030245">
        <w:rPr>
          <w:rFonts w:asciiTheme="minorHAnsi" w:hAnsiTheme="minorHAnsi"/>
          <w:sz w:val="24"/>
          <w:szCs w:val="24"/>
        </w:rPr>
        <w:t>Mill and Overlay &gt; 2” &lt; or = 3</w:t>
      </w:r>
      <w:r>
        <w:rPr>
          <w:rFonts w:asciiTheme="minorHAnsi" w:hAnsiTheme="minorHAnsi"/>
          <w:sz w:val="24"/>
          <w:szCs w:val="24"/>
        </w:rPr>
        <w:t xml:space="preserve"> project</w:t>
      </w:r>
      <w:r w:rsidRPr="00030245">
        <w:rPr>
          <w:rFonts w:asciiTheme="minorHAnsi" w:hAnsiTheme="minorHAnsi"/>
          <w:sz w:val="24"/>
          <w:szCs w:val="24"/>
        </w:rPr>
        <w:t xml:space="preserve">. Because it is anticipated that the Preliminary Engineering will not exceed $300,000 this RFP is a seven day RFP, due on </w:t>
      </w:r>
      <w:r>
        <w:rPr>
          <w:rFonts w:asciiTheme="minorHAnsi" w:hAnsiTheme="minorHAnsi"/>
          <w:sz w:val="24"/>
          <w:szCs w:val="24"/>
        </w:rPr>
        <w:t>March 00</w:t>
      </w:r>
      <w:r w:rsidRPr="00030245">
        <w:rPr>
          <w:rFonts w:asciiTheme="minorHAnsi" w:hAnsiTheme="minorHAnsi"/>
          <w:sz w:val="24"/>
          <w:szCs w:val="24"/>
        </w:rPr>
        <w:t>, 201</w:t>
      </w:r>
      <w:r>
        <w:rPr>
          <w:rFonts w:asciiTheme="minorHAnsi" w:hAnsiTheme="minorHAnsi"/>
          <w:sz w:val="24"/>
          <w:szCs w:val="24"/>
        </w:rPr>
        <w:t>8</w:t>
      </w:r>
      <w:r w:rsidRPr="00030245">
        <w:rPr>
          <w:rFonts w:asciiTheme="minorHAnsi" w:hAnsiTheme="minorHAnsi"/>
          <w:sz w:val="24"/>
          <w:szCs w:val="24"/>
        </w:rPr>
        <w:t xml:space="preserve"> in accordance with NDCC 24-02-07.3.</w:t>
      </w:r>
    </w:p>
    <w:p w:rsidR="00DA66EF" w:rsidRPr="00410527" w:rsidRDefault="00DA66EF" w:rsidP="00DA66EF">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w:t>
      </w:r>
      <w:r w:rsidRPr="00410527">
        <w:rPr>
          <w:rFonts w:asciiTheme="minorHAnsi" w:hAnsiTheme="minorHAnsi"/>
          <w:sz w:val="24"/>
          <w:szCs w:val="24"/>
        </w:rPr>
        <w:lastRenderedPageBreak/>
        <w:t>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w:t>
      </w:r>
      <w:r w:rsidR="00464FF4">
        <w:rPr>
          <w:rFonts w:asciiTheme="minorHAnsi" w:hAnsiTheme="minorHAnsi"/>
          <w:sz w:val="24"/>
          <w:szCs w:val="24"/>
        </w:rPr>
        <w:t>pre</w:t>
      </w:r>
      <w:r w:rsidRPr="00410527">
        <w:rPr>
          <w:rFonts w:asciiTheme="minorHAnsi" w:hAnsiTheme="minorHAnsi"/>
          <w:sz w:val="24"/>
          <w:szCs w:val="24"/>
        </w:rPr>
        <w:t xml:space="preserve">qualified to perform </w:t>
      </w:r>
      <w:r w:rsidR="00464FF4">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2F5367">
        <w:rPr>
          <w:rFonts w:asciiTheme="minorHAnsi" w:hAnsiTheme="minorHAnsi"/>
          <w:sz w:val="24"/>
          <w:szCs w:val="24"/>
        </w:rPr>
        <w:t>09/01/2019</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2F5367">
        <w:rPr>
          <w:rFonts w:asciiTheme="minorHAnsi" w:hAnsiTheme="minorHAnsi"/>
          <w:sz w:val="24"/>
          <w:szCs w:val="24"/>
        </w:rPr>
        <w:t>11/08/2019</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4C7036" w:rsidRPr="00410527">
        <w:rPr>
          <w:rFonts w:asciiTheme="minorHAnsi" w:hAnsiTheme="minorHAnsi"/>
          <w:sz w:val="24"/>
          <w:szCs w:val="24"/>
        </w:rPr>
        <w:t xml:space="preserve">Scoping </w:t>
      </w:r>
      <w:r w:rsidR="002F5367">
        <w:rPr>
          <w:rFonts w:asciiTheme="minorHAnsi" w:hAnsiTheme="minorHAnsi"/>
          <w:sz w:val="24"/>
          <w:szCs w:val="24"/>
        </w:rPr>
        <w:t>Worksheet</w:t>
      </w:r>
      <w:r w:rsidR="004C7036" w:rsidRPr="00410527">
        <w:rPr>
          <w:rFonts w:asciiTheme="minorHAnsi" w:hAnsiTheme="minorHAnsi"/>
          <w:sz w:val="24"/>
          <w:szCs w:val="24"/>
        </w:rPr>
        <w:t xml:space="preserve">, </w:t>
      </w:r>
      <w:r w:rsidR="002F5367">
        <w:rPr>
          <w:rFonts w:asciiTheme="minorHAnsi" w:hAnsiTheme="minorHAnsi"/>
          <w:sz w:val="24"/>
          <w:szCs w:val="24"/>
        </w:rPr>
        <w:t>Memorandum</w:t>
      </w:r>
      <w:r w:rsidR="00121E9F" w:rsidRPr="00410527">
        <w:rPr>
          <w:rFonts w:asciiTheme="minorHAnsi" w:hAnsiTheme="minorHAnsi"/>
          <w:sz w:val="24"/>
          <w:szCs w:val="24"/>
        </w:rPr>
        <w:t xml:space="preserve">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 xml:space="preserve">See </w:t>
      </w:r>
      <w:r w:rsidR="004363CD" w:rsidRPr="00410527">
        <w:rPr>
          <w:rFonts w:asciiTheme="minorHAnsi" w:hAnsiTheme="minorHAnsi"/>
          <w:color w:val="010202"/>
          <w:sz w:val="24"/>
          <w:szCs w:val="24"/>
        </w:rPr>
        <w:lastRenderedPageBreak/>
        <w:t>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F5367" w:rsidRDefault="002F5367" w:rsidP="004E7EB6">
      <w:pPr>
        <w:rPr>
          <w:rFonts w:asciiTheme="minorHAnsi" w:hAnsiTheme="minorHAnsi"/>
          <w:b/>
          <w:bCs/>
          <w:sz w:val="24"/>
          <w:szCs w:val="24"/>
        </w:rPr>
      </w:pPr>
    </w:p>
    <w:p w:rsidR="004E7EB6"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2F5367" w:rsidRDefault="002F5367" w:rsidP="004E7EB6">
      <w:pPr>
        <w:rPr>
          <w:rFonts w:asciiTheme="minorHAnsi" w:hAnsiTheme="minorHAnsi"/>
          <w:b/>
          <w:bCs/>
          <w:sz w:val="24"/>
          <w:szCs w:val="24"/>
        </w:rPr>
      </w:pPr>
    </w:p>
    <w:p w:rsidR="004363CD" w:rsidRPr="00410527" w:rsidRDefault="004E7EB6"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p>
    <w:p w:rsidR="004E7EB6" w:rsidRPr="00410527" w:rsidRDefault="004363CD" w:rsidP="004363CD">
      <w:pPr>
        <w:rPr>
          <w:rFonts w:asciiTheme="minorHAnsi" w:hAnsiTheme="minorHAnsi"/>
          <w:sz w:val="24"/>
          <w:szCs w:val="24"/>
        </w:rPr>
      </w:pPr>
      <w:r w:rsidRPr="00410527">
        <w:rPr>
          <w:rFonts w:asciiTheme="minorHAnsi" w:hAnsiTheme="minorHAnsi"/>
          <w:color w:val="010202"/>
          <w:sz w:val="24"/>
          <w:szCs w:val="24"/>
        </w:rPr>
        <w:t>(http://www.dot.nd.gov/dotnet/forms/forms.aspx)</w:t>
      </w: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rPr>
      </w:pPr>
      <w:r w:rsidRPr="00410527">
        <w:rPr>
          <w:rFonts w:asciiTheme="minorHAnsi" w:hAnsiTheme="minorHAnsi"/>
          <w:b/>
          <w:bCs/>
          <w:sz w:val="24"/>
          <w:szCs w:val="24"/>
        </w:rPr>
        <w:t>DISADVANTAGED BUSINESS ENTERPRISE (DBE)</w:t>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u w:val="single"/>
        </w:rPr>
      </w:pPr>
    </w:p>
    <w:p w:rsidR="00D66398" w:rsidRPr="00410527" w:rsidRDefault="00C664D3"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r w:rsidRPr="00410527">
        <w:rPr>
          <w:rFonts w:asciiTheme="minorHAnsi" w:hAnsiTheme="minorHAnsi"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410527">
        <w:rPr>
          <w:rFonts w:asciiTheme="minorHAnsi" w:hAnsiTheme="minorHAnsi" w:cs="Arial"/>
          <w:b/>
          <w:bCs/>
          <w:color w:val="FF0000"/>
          <w:sz w:val="24"/>
          <w:szCs w:val="24"/>
        </w:rPr>
        <w:t xml:space="preserve">For information regarding the DBE Program, see the 2016 DBE Program Manual at </w:t>
      </w:r>
      <w:hyperlink r:id="rId8" w:history="1">
        <w:r w:rsidRPr="00410527">
          <w:rPr>
            <w:rStyle w:val="Hyperlink"/>
            <w:rFonts w:asciiTheme="minorHAnsi" w:hAnsiTheme="minorHAnsi" w:cs="Arial"/>
            <w:b/>
            <w:bCs/>
            <w:sz w:val="24"/>
            <w:szCs w:val="24"/>
          </w:rPr>
          <w:t>http://www.dot.nd.gov/divisions/civilrights/docs/dbe/dbe-program-admin-manual.pdf</w:t>
        </w:r>
      </w:hyperlink>
      <w:r w:rsidRPr="00410527">
        <w:rPr>
          <w:rFonts w:asciiTheme="minorHAnsi" w:hAnsiTheme="minorHAnsi" w:cs="Arial"/>
          <w:b/>
          <w:bCs/>
          <w:color w:val="FF0000"/>
          <w:sz w:val="24"/>
          <w:szCs w:val="24"/>
        </w:rPr>
        <w:t xml:space="preserve"> </w:t>
      </w:r>
      <w:r w:rsidR="00D66398" w:rsidRPr="00410527">
        <w:rPr>
          <w:rFonts w:asciiTheme="minorHAnsi" w:hAnsiTheme="minorHAnsi"/>
          <w:sz w:val="24"/>
          <w:szCs w:val="24"/>
        </w:rPr>
        <w:t xml:space="preserve"> </w:t>
      </w:r>
    </w:p>
    <w:p w:rsidR="00DA66EF" w:rsidRPr="00410527" w:rsidRDefault="00DA66EF"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p>
    <w:p w:rsidR="00211F2F" w:rsidRPr="00410527" w:rsidRDefault="00211F2F" w:rsidP="00211F2F">
      <w:pPr>
        <w:rPr>
          <w:rFonts w:asciiTheme="minorHAnsi" w:hAnsiTheme="minorHAnsi" w:cs="Arial"/>
          <w:b/>
          <w:bCs/>
          <w:color w:val="FF0000"/>
          <w:sz w:val="24"/>
          <w:szCs w:val="24"/>
        </w:rPr>
      </w:pPr>
      <w:r w:rsidRPr="00410527">
        <w:rPr>
          <w:rFonts w:asciiTheme="minorHAnsi" w:hAnsiTheme="minorHAnsi" w:cs="Arial"/>
          <w:b/>
          <w:bCs/>
          <w:color w:val="FF0000"/>
          <w:sz w:val="24"/>
          <w:szCs w:val="24"/>
        </w:rPr>
        <w:t xml:space="preserve">TITLE VI/NON-DISCRIMINATION AND ADA </w:t>
      </w:r>
    </w:p>
    <w:p w:rsidR="00211F2F" w:rsidRPr="00410527" w:rsidRDefault="00211F2F" w:rsidP="00211F2F">
      <w:pPr>
        <w:rPr>
          <w:rFonts w:asciiTheme="minorHAnsi" w:hAnsiTheme="minorHAnsi" w:cs="Arial"/>
          <w:b/>
          <w:bCs/>
          <w:sz w:val="24"/>
          <w:szCs w:val="24"/>
        </w:rPr>
      </w:pPr>
      <w:r w:rsidRPr="00410527">
        <w:rPr>
          <w:rFonts w:asciiTheme="minorHAnsi" w:hAnsiTheme="minorHAnsi" w:cs="Arial"/>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410527">
        <w:rPr>
          <w:rFonts w:asciiTheme="minorHAnsi" w:hAnsiTheme="minorHAnsi" w:cs="Arial"/>
          <w:b/>
          <w:bCs/>
          <w:color w:val="FF0000"/>
          <w:sz w:val="24"/>
          <w:szCs w:val="24"/>
        </w:rPr>
        <w:t>2016 Title VI/Nondiscrimination and ADA Program at</w:t>
      </w:r>
      <w:r w:rsidRPr="00410527">
        <w:rPr>
          <w:rFonts w:asciiTheme="minorHAnsi" w:hAnsiTheme="minorHAnsi" w:cs="Arial"/>
          <w:color w:val="FF0000"/>
          <w:sz w:val="24"/>
          <w:szCs w:val="24"/>
        </w:rPr>
        <w:t xml:space="preserve"> </w:t>
      </w:r>
      <w:hyperlink r:id="rId9" w:history="1">
        <w:r w:rsidRPr="00410527">
          <w:rPr>
            <w:rStyle w:val="Hyperlink"/>
            <w:rFonts w:asciiTheme="minorHAnsi" w:hAnsiTheme="minorHAnsi" w:cs="Arial"/>
            <w:b/>
            <w:bCs/>
            <w:sz w:val="24"/>
            <w:szCs w:val="24"/>
          </w:rPr>
          <w:t>http://www.dot.nd.gov/divisions/civilrights/docs/titlevi/NDDOT-Title-VI-ADA-2016.pdf</w:t>
        </w:r>
      </w:hyperlink>
    </w:p>
    <w:p w:rsidR="00211F2F" w:rsidRPr="00410527" w:rsidRDefault="00211F2F" w:rsidP="00211F2F">
      <w:pPr>
        <w:rPr>
          <w:rFonts w:asciiTheme="minorHAnsi" w:hAnsiTheme="minorHAnsi" w:cs="Arial"/>
          <w:color w:val="1F497D"/>
          <w:sz w:val="24"/>
          <w:szCs w:val="24"/>
        </w:rPr>
      </w:pPr>
    </w:p>
    <w:p w:rsidR="004F4C58" w:rsidRPr="00410527" w:rsidRDefault="00211F2F" w:rsidP="00211F2F">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sidRPr="00410527">
        <w:rPr>
          <w:rFonts w:asciiTheme="minorHAnsi" w:hAnsiTheme="minorHAnsi" w:cs="Arial"/>
          <w:sz w:val="24"/>
          <w:szCs w:val="24"/>
        </w:rPr>
        <w:t>The two paragraphs above apply to every consultant on the project, including every tier of sub consultant. It is the consultant’s, or sub consultant’s responsibility to include the two above paragraphs in every subcontract.</w:t>
      </w: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9246F3" w:rsidP="004E40B7">
      <w:pPr>
        <w:ind w:firstLine="720"/>
        <w:rPr>
          <w:rFonts w:asciiTheme="minorHAnsi" w:eastAsiaTheme="minorHAnsi" w:hAnsiTheme="minorHAnsi" w:cstheme="minorHAnsi"/>
          <w:color w:val="1F497D"/>
          <w:sz w:val="24"/>
          <w:szCs w:val="24"/>
          <w:highlight w:val="yellow"/>
        </w:rPr>
      </w:pPr>
      <w:hyperlink r:id="rId10"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1"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9246F3" w:rsidP="004E40B7">
      <w:pPr>
        <w:spacing w:line="204" w:lineRule="auto"/>
        <w:ind w:left="540" w:hanging="540"/>
        <w:rPr>
          <w:rFonts w:asciiTheme="minorHAnsi" w:hAnsiTheme="minorHAnsi" w:cstheme="minorHAnsi"/>
          <w:sz w:val="24"/>
          <w:szCs w:val="24"/>
        </w:rPr>
      </w:pPr>
      <w:hyperlink r:id="rId12"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9246F3"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3" w:history="1">
        <w:r w:rsidR="00680F40" w:rsidRPr="00410527">
          <w:rPr>
            <w:rStyle w:val="Hyperlink"/>
            <w:rFonts w:asciiTheme="minorHAnsi" w:hAnsiTheme="minorHAnsi"/>
            <w:color w:val="auto"/>
            <w:sz w:val="24"/>
            <w:szCs w:val="24"/>
          </w:rPr>
          <w:t>scunning@nd.gov</w:t>
        </w:r>
      </w:hyperlink>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464FF4">
        <w:rPr>
          <w:rFonts w:asciiTheme="minorHAnsi" w:hAnsiTheme="minorHAnsi"/>
          <w:sz w:val="24"/>
          <w:szCs w:val="24"/>
        </w:rPr>
        <w:t>3</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xml:space="preserve">. The pages in the appendix will </w:t>
      </w:r>
      <w:r w:rsidRPr="00410527">
        <w:rPr>
          <w:rFonts w:asciiTheme="minorHAnsi" w:hAnsiTheme="minorHAnsi"/>
          <w:sz w:val="24"/>
          <w:szCs w:val="24"/>
        </w:rPr>
        <w:lastRenderedPageBreak/>
        <w:t>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2F5367"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proofErr w:type="gramStart"/>
      <w:r>
        <w:rPr>
          <w:rFonts w:asciiTheme="minorHAnsi" w:hAnsiTheme="minorHAnsi" w:cs="Arial"/>
        </w:rPr>
        <w:t>m</w:t>
      </w:r>
      <w:r w:rsidR="009F51BA" w:rsidRPr="00410527">
        <w:rPr>
          <w:rFonts w:asciiTheme="minorHAnsi" w:hAnsiTheme="minorHAnsi" w:cs="Arial"/>
        </w:rPr>
        <w:t>ay</w:t>
      </w:r>
      <w:proofErr w:type="gramEnd"/>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9246F3">
          <w:rPr>
            <w:noProof/>
          </w:rPr>
          <w:t>7</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0245"/>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5367"/>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4FF4"/>
    <w:rsid w:val="00465EE0"/>
    <w:rsid w:val="00470307"/>
    <w:rsid w:val="004706AA"/>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43B0"/>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46F3"/>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0D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5782"/>
    <o:shapelayout v:ext="edit">
      <o:idmap v:ext="edit" data="1"/>
    </o:shapelayout>
  </w:shapeDefaults>
  <w:decimalSymbol w:val="."/>
  <w:listSeparator w:val=","/>
  <w14:docId w14:val="13120467"/>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hyperlink" Target="mailto:scunning@nd.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t.nd.gov/divisions/environmental/docs/RFP%20Biograph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i.fhwa.dot.gov/training/course_search.aspx?sf=0&amp;course_no=14104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t.nd.gov/forms/sfn61346.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D360-E3A2-4AF5-A405-B83A1DC8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2092</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14413</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8</cp:revision>
  <cp:lastPrinted>2010-12-13T21:38:00Z</cp:lastPrinted>
  <dcterms:created xsi:type="dcterms:W3CDTF">2018-03-14T15:36:00Z</dcterms:created>
  <dcterms:modified xsi:type="dcterms:W3CDTF">2018-03-15T12:58:00Z</dcterms:modified>
</cp:coreProperties>
</file>